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normal1"/>
        <w:tblW w:w="19415" w:type="dxa"/>
        <w:tblLayout w:type="fixed"/>
        <w:tblLook w:val="04A0" w:firstRow="1" w:lastRow="0" w:firstColumn="1" w:lastColumn="0" w:noHBand="0" w:noVBand="1"/>
      </w:tblPr>
      <w:tblGrid>
        <w:gridCol w:w="1838"/>
        <w:gridCol w:w="3260"/>
        <w:gridCol w:w="9072"/>
        <w:gridCol w:w="5245"/>
      </w:tblGrid>
      <w:tr w:rsidR="001151AC" w:rsidRPr="00662663" w14:paraId="72E0CADC" w14:textId="77777777" w:rsidTr="001151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  <w:hideMark/>
          </w:tcPr>
          <w:p w14:paraId="4C7FB566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N° de criterio</w:t>
            </w:r>
          </w:p>
        </w:tc>
        <w:tc>
          <w:tcPr>
            <w:tcW w:w="3260" w:type="dxa"/>
            <w:vAlign w:val="center"/>
            <w:hideMark/>
          </w:tcPr>
          <w:p w14:paraId="040C28DE" w14:textId="77777777" w:rsidR="001151AC" w:rsidRPr="00662663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Tema principal</w:t>
            </w:r>
          </w:p>
        </w:tc>
        <w:tc>
          <w:tcPr>
            <w:tcW w:w="9072" w:type="dxa"/>
            <w:vAlign w:val="center"/>
            <w:hideMark/>
          </w:tcPr>
          <w:p w14:paraId="6188915B" w14:textId="77777777" w:rsidR="001151AC" w:rsidRPr="00662663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Resumen ejecutivo</w:t>
            </w:r>
          </w:p>
        </w:tc>
        <w:tc>
          <w:tcPr>
            <w:tcW w:w="5245" w:type="dxa"/>
            <w:vAlign w:val="center"/>
            <w:hideMark/>
          </w:tcPr>
          <w:p w14:paraId="4F3D3F8D" w14:textId="77777777" w:rsidR="001151AC" w:rsidRPr="00662663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Palabras clave</w:t>
            </w:r>
          </w:p>
        </w:tc>
      </w:tr>
      <w:tr w:rsidR="001151AC" w:rsidRPr="00662663" w14:paraId="58EFF297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  <w:hideMark/>
          </w:tcPr>
          <w:p w14:paraId="34D347D8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AL-1438-2009</w:t>
            </w:r>
          </w:p>
        </w:tc>
        <w:tc>
          <w:tcPr>
            <w:tcW w:w="3260" w:type="dxa"/>
            <w:vAlign w:val="center"/>
            <w:hideMark/>
          </w:tcPr>
          <w:p w14:paraId="1C15E28D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Material promocional en oficinas de información turística</w:t>
            </w:r>
          </w:p>
        </w:tc>
        <w:tc>
          <w:tcPr>
            <w:tcW w:w="9072" w:type="dxa"/>
            <w:vAlign w:val="center"/>
            <w:hideMark/>
          </w:tcPr>
          <w:p w14:paraId="0EA0F6A5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El material promocional distribuido en oficinas del ICT debe corresponder a empresas o actividades sometidas a control institucional. Se desaconseja asociar al ICT con marcas comerciales ajenas que puedan generar apariencia de aval institucional.</w:t>
            </w:r>
          </w:p>
        </w:tc>
        <w:tc>
          <w:tcPr>
            <w:tcW w:w="5245" w:type="dxa"/>
            <w:vAlign w:val="center"/>
            <w:hideMark/>
          </w:tcPr>
          <w:p w14:paraId="5022CCFD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promoción; publicidad; marcas; oficinas de información; responsabilidad</w:t>
            </w:r>
          </w:p>
        </w:tc>
      </w:tr>
      <w:tr w:rsidR="001151AC" w:rsidRPr="00662663" w14:paraId="6650C9AF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  <w:hideMark/>
          </w:tcPr>
          <w:p w14:paraId="083A60F4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AL-0039-2020</w:t>
            </w:r>
          </w:p>
        </w:tc>
        <w:tc>
          <w:tcPr>
            <w:tcW w:w="3260" w:type="dxa"/>
            <w:vAlign w:val="center"/>
            <w:hideMark/>
          </w:tcPr>
          <w:p w14:paraId="79125818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Exoneración de impuestos</w:t>
            </w:r>
          </w:p>
        </w:tc>
        <w:tc>
          <w:tcPr>
            <w:tcW w:w="9072" w:type="dxa"/>
            <w:vAlign w:val="center"/>
            <w:hideMark/>
          </w:tcPr>
          <w:p w14:paraId="4FCA98F0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Analiza el alcance de beneficios o exoneraciones tributarias vinculadas con actividades turísticas y la necesidad de sujetar su aplicación estrictamente a la normativa habilitante.</w:t>
            </w:r>
          </w:p>
        </w:tc>
        <w:tc>
          <w:tcPr>
            <w:tcW w:w="5245" w:type="dxa"/>
            <w:vAlign w:val="center"/>
            <w:hideMark/>
          </w:tcPr>
          <w:p w14:paraId="2A5A11B8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exoneraciones; impuestos; turismo; legalidad</w:t>
            </w:r>
          </w:p>
        </w:tc>
      </w:tr>
    </w:tbl>
    <w:p w14:paraId="5CC6A7B6" w14:textId="77777777" w:rsidR="00BD532B" w:rsidRDefault="00BD532B" w:rsidP="00536FD6">
      <w:pPr>
        <w:spacing w:before="120" w:after="120" w:line="240" w:lineRule="auto"/>
        <w:rPr>
          <w:sz w:val="20"/>
          <w:szCs w:val="20"/>
        </w:rPr>
      </w:pPr>
    </w:p>
    <w:p w14:paraId="7999E13C" w14:textId="14CB96C5" w:rsidR="00662663" w:rsidRPr="00CE33EE" w:rsidRDefault="00662663" w:rsidP="00CE33EE">
      <w:pPr>
        <w:spacing w:before="120" w:after="120" w:line="240" w:lineRule="auto"/>
        <w:jc w:val="center"/>
        <w:rPr>
          <w:b/>
          <w:bCs/>
          <w:sz w:val="52"/>
          <w:szCs w:val="52"/>
        </w:rPr>
      </w:pPr>
      <w:r w:rsidRPr="00CE33EE">
        <w:rPr>
          <w:b/>
          <w:bCs/>
          <w:sz w:val="52"/>
          <w:szCs w:val="52"/>
        </w:rPr>
        <w:t>2021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1572"/>
        <w:gridCol w:w="3566"/>
        <w:gridCol w:w="9032"/>
        <w:gridCol w:w="5245"/>
      </w:tblGrid>
      <w:tr w:rsidR="001151AC" w:rsidRPr="00662663" w14:paraId="26E13905" w14:textId="77777777" w:rsidTr="001151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54E425A9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N° de criterio</w:t>
            </w:r>
          </w:p>
        </w:tc>
        <w:tc>
          <w:tcPr>
            <w:tcW w:w="3566" w:type="dxa"/>
            <w:vAlign w:val="center"/>
            <w:hideMark/>
          </w:tcPr>
          <w:p w14:paraId="5780EE06" w14:textId="77777777" w:rsidR="001151AC" w:rsidRPr="00662663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Tema principal</w:t>
            </w:r>
          </w:p>
        </w:tc>
        <w:tc>
          <w:tcPr>
            <w:tcW w:w="9032" w:type="dxa"/>
            <w:vAlign w:val="center"/>
            <w:hideMark/>
          </w:tcPr>
          <w:p w14:paraId="08383EA4" w14:textId="77777777" w:rsidR="001151AC" w:rsidRPr="00662663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Resumen ejecutivo</w:t>
            </w:r>
          </w:p>
        </w:tc>
        <w:tc>
          <w:tcPr>
            <w:tcW w:w="5245" w:type="dxa"/>
            <w:vAlign w:val="center"/>
            <w:hideMark/>
          </w:tcPr>
          <w:p w14:paraId="70C7C09D" w14:textId="77777777" w:rsidR="001151AC" w:rsidRPr="00662663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Palabras clave</w:t>
            </w:r>
          </w:p>
        </w:tc>
      </w:tr>
      <w:tr w:rsidR="001151AC" w:rsidRPr="00662663" w14:paraId="4747977C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29552B37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AL-0048-2021</w:t>
            </w:r>
          </w:p>
        </w:tc>
        <w:tc>
          <w:tcPr>
            <w:tcW w:w="3566" w:type="dxa"/>
            <w:vAlign w:val="center"/>
            <w:hideMark/>
          </w:tcPr>
          <w:p w14:paraId="7C1FB07E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Certificado de Sostenibilidad Turística</w:t>
            </w:r>
          </w:p>
        </w:tc>
        <w:tc>
          <w:tcPr>
            <w:tcW w:w="9032" w:type="dxa"/>
            <w:vAlign w:val="center"/>
            <w:hideMark/>
          </w:tcPr>
          <w:p w14:paraId="66C2D4F9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Analiza aspectos del régimen jurídico del CST y las competencias institucionales relacionadas con su otorgamiento, seguimiento y funcionamiento.</w:t>
            </w:r>
          </w:p>
        </w:tc>
        <w:tc>
          <w:tcPr>
            <w:tcW w:w="5245" w:type="dxa"/>
            <w:vAlign w:val="center"/>
            <w:hideMark/>
          </w:tcPr>
          <w:p w14:paraId="5B713065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CST; sostenibilidad; certificación; turismo</w:t>
            </w:r>
          </w:p>
        </w:tc>
      </w:tr>
      <w:tr w:rsidR="001151AC" w:rsidRPr="00662663" w14:paraId="162D6D19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208B48C4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AL-0207-2021</w:t>
            </w:r>
          </w:p>
        </w:tc>
        <w:tc>
          <w:tcPr>
            <w:tcW w:w="3566" w:type="dxa"/>
            <w:vAlign w:val="center"/>
            <w:hideMark/>
          </w:tcPr>
          <w:p w14:paraId="51FAF2BE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Certificado de Sostenibilidad Turística</w:t>
            </w:r>
          </w:p>
        </w:tc>
        <w:tc>
          <w:tcPr>
            <w:tcW w:w="9032" w:type="dxa"/>
            <w:vAlign w:val="center"/>
            <w:hideMark/>
          </w:tcPr>
          <w:p w14:paraId="233F51FF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Desarrolla aspectos jurídicos relativos al funcionamiento del programa CST y las competencias institucionales para su administración.</w:t>
            </w:r>
          </w:p>
        </w:tc>
        <w:tc>
          <w:tcPr>
            <w:tcW w:w="5245" w:type="dxa"/>
            <w:vAlign w:val="center"/>
            <w:hideMark/>
          </w:tcPr>
          <w:p w14:paraId="4F39577D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CST; sostenibilidad; competencia; certificación</w:t>
            </w:r>
          </w:p>
        </w:tc>
      </w:tr>
      <w:tr w:rsidR="001151AC" w:rsidRPr="00662663" w14:paraId="25211437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67BF282E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AL-0268-2021</w:t>
            </w:r>
          </w:p>
        </w:tc>
        <w:tc>
          <w:tcPr>
            <w:tcW w:w="3566" w:type="dxa"/>
            <w:vAlign w:val="center"/>
            <w:hideMark/>
          </w:tcPr>
          <w:p w14:paraId="4E203562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Garantía de cumplimiento en ZMT</w:t>
            </w:r>
          </w:p>
        </w:tc>
        <w:tc>
          <w:tcPr>
            <w:tcW w:w="9032" w:type="dxa"/>
            <w:vAlign w:val="center"/>
            <w:hideMark/>
          </w:tcPr>
          <w:p w14:paraId="44ACDADA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La garantía de ejecución de proyectos turísticos en ZMT se rige por la Ley N° 6043 y su Reglamento; los acuerdos institucionales sobre porcentajes deben interpretarse dentro del marco legal de competencias.</w:t>
            </w:r>
          </w:p>
        </w:tc>
        <w:tc>
          <w:tcPr>
            <w:tcW w:w="5245" w:type="dxa"/>
            <w:vAlign w:val="center"/>
            <w:hideMark/>
          </w:tcPr>
          <w:p w14:paraId="3654A667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garantía; ejecución; concesión; ZMT</w:t>
            </w:r>
          </w:p>
        </w:tc>
      </w:tr>
      <w:tr w:rsidR="001151AC" w:rsidRPr="00662663" w14:paraId="0016069A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011149C4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AL-0392-2021</w:t>
            </w:r>
          </w:p>
        </w:tc>
        <w:tc>
          <w:tcPr>
            <w:tcW w:w="3566" w:type="dxa"/>
            <w:vAlign w:val="center"/>
            <w:hideMark/>
          </w:tcPr>
          <w:p w14:paraId="48A3FF1C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Permisos de uso en ZMT</w:t>
            </w:r>
          </w:p>
        </w:tc>
        <w:tc>
          <w:tcPr>
            <w:tcW w:w="9032" w:type="dxa"/>
            <w:vAlign w:val="center"/>
            <w:hideMark/>
          </w:tcPr>
          <w:p w14:paraId="567EA156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Analiza la utilización excepcional y precaria de bienes de dominio público en ZMT mediante permisos de uso y los límites derivados del uso público y la normativa especial.</w:t>
            </w:r>
          </w:p>
        </w:tc>
        <w:tc>
          <w:tcPr>
            <w:tcW w:w="5245" w:type="dxa"/>
            <w:vAlign w:val="center"/>
            <w:hideMark/>
          </w:tcPr>
          <w:p w14:paraId="53003F66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permiso de uso; ZMT; demanio; precariedad</w:t>
            </w:r>
          </w:p>
        </w:tc>
      </w:tr>
      <w:tr w:rsidR="001151AC" w:rsidRPr="00662663" w14:paraId="3BACFBD7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68080468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AL-0478-2021</w:t>
            </w:r>
          </w:p>
        </w:tc>
        <w:tc>
          <w:tcPr>
            <w:tcW w:w="3566" w:type="dxa"/>
            <w:vAlign w:val="center"/>
            <w:hideMark/>
          </w:tcPr>
          <w:p w14:paraId="42DBC271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Competencias en la ZMT</w:t>
            </w:r>
          </w:p>
        </w:tc>
        <w:tc>
          <w:tcPr>
            <w:tcW w:w="9032" w:type="dxa"/>
            <w:vAlign w:val="center"/>
            <w:hideMark/>
          </w:tcPr>
          <w:p w14:paraId="03BF37BB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Delimita las competencias de las municipalidades y del ICT en materia de administración, fiscalización y superior vigilancia de la Zona Marítimo Terrestre.</w:t>
            </w:r>
          </w:p>
        </w:tc>
        <w:tc>
          <w:tcPr>
            <w:tcW w:w="5245" w:type="dxa"/>
            <w:vAlign w:val="center"/>
            <w:hideMark/>
          </w:tcPr>
          <w:p w14:paraId="59C9A9C5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competencias; municipalidad; ICT; ZMT</w:t>
            </w:r>
          </w:p>
        </w:tc>
      </w:tr>
      <w:tr w:rsidR="001151AC" w:rsidRPr="00662663" w14:paraId="1A28EBFC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76464CDB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lastRenderedPageBreak/>
              <w:t>AL-0650-2021 / documento numerado AL-0650-2019</w:t>
            </w:r>
          </w:p>
        </w:tc>
        <w:tc>
          <w:tcPr>
            <w:tcW w:w="3566" w:type="dxa"/>
            <w:vAlign w:val="center"/>
            <w:hideMark/>
          </w:tcPr>
          <w:p w14:paraId="3D39F993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Exoneración en compra de boletos internacionales</w:t>
            </w:r>
          </w:p>
        </w:tc>
        <w:tc>
          <w:tcPr>
            <w:tcW w:w="9032" w:type="dxa"/>
            <w:vAlign w:val="center"/>
            <w:hideMark/>
          </w:tcPr>
          <w:p w14:paraId="74284070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Los recursos provenientes de organismos de Naciones Unidas pueden estar comprendidos en las inmunidades y exenciones previstas en la Convención aplicable, incluso cuando financian boletos internacionales para funcionarios o colaboradores de la misión.</w:t>
            </w:r>
          </w:p>
        </w:tc>
        <w:tc>
          <w:tcPr>
            <w:tcW w:w="5245" w:type="dxa"/>
            <w:vAlign w:val="center"/>
            <w:hideMark/>
          </w:tcPr>
          <w:p w14:paraId="473CF6D5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ONU; ACNUR; exoneración; boletos; tributación</w:t>
            </w:r>
          </w:p>
        </w:tc>
      </w:tr>
      <w:tr w:rsidR="001151AC" w:rsidRPr="00662663" w14:paraId="505A2CCE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2EF1DAF8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AL-0682-2021</w:t>
            </w:r>
          </w:p>
        </w:tc>
        <w:tc>
          <w:tcPr>
            <w:tcW w:w="3566" w:type="dxa"/>
            <w:vAlign w:val="center"/>
            <w:hideMark/>
          </w:tcPr>
          <w:p w14:paraId="7759525E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Uso de logotipo institucional</w:t>
            </w:r>
          </w:p>
        </w:tc>
        <w:tc>
          <w:tcPr>
            <w:tcW w:w="9032" w:type="dxa"/>
            <w:vAlign w:val="center"/>
            <w:hideMark/>
          </w:tcPr>
          <w:p w14:paraId="38B9C71A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La competencia promocional del ICT no constituye una habilitación general para asociar su logotipo con marcas privadas; debe existir fundamento jurídico y ajustarse a los mecanismos institucionales aplicables.</w:t>
            </w:r>
          </w:p>
        </w:tc>
        <w:tc>
          <w:tcPr>
            <w:tcW w:w="5245" w:type="dxa"/>
            <w:vAlign w:val="center"/>
            <w:hideMark/>
          </w:tcPr>
          <w:p w14:paraId="4A17FA19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logotipo; marca; publicidad; promoción</w:t>
            </w:r>
          </w:p>
        </w:tc>
      </w:tr>
      <w:tr w:rsidR="001151AC" w:rsidRPr="00662663" w14:paraId="4FFDCC09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2E75CB3B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AL-0708-2021</w:t>
            </w:r>
          </w:p>
        </w:tc>
        <w:tc>
          <w:tcPr>
            <w:tcW w:w="3566" w:type="dxa"/>
            <w:vAlign w:val="center"/>
            <w:hideMark/>
          </w:tcPr>
          <w:p w14:paraId="0D80A2CD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Nacionalidad y capital social en ZMT</w:t>
            </w:r>
          </w:p>
        </w:tc>
        <w:tc>
          <w:tcPr>
            <w:tcW w:w="9032" w:type="dxa"/>
            <w:vAlign w:val="center"/>
            <w:hideMark/>
          </w:tcPr>
          <w:p w14:paraId="1AF2382A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Analiza las restricciones establecidas por el artículo 47 de la Ley N° 6043 para extranjeros y personas jurídicas en la titularidad de concesiones.</w:t>
            </w:r>
          </w:p>
        </w:tc>
        <w:tc>
          <w:tcPr>
            <w:tcW w:w="5245" w:type="dxa"/>
            <w:vAlign w:val="center"/>
            <w:hideMark/>
          </w:tcPr>
          <w:p w14:paraId="596164BE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extranjeros; capital social; concesión; ZMT</w:t>
            </w:r>
          </w:p>
        </w:tc>
      </w:tr>
      <w:tr w:rsidR="001151AC" w:rsidRPr="00662663" w14:paraId="7613FB93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56896330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AL-0717-2021</w:t>
            </w:r>
          </w:p>
        </w:tc>
        <w:tc>
          <w:tcPr>
            <w:tcW w:w="3566" w:type="dxa"/>
            <w:vAlign w:val="center"/>
            <w:hideMark/>
          </w:tcPr>
          <w:p w14:paraId="2AA6308F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Ascenso interino y anualidades</w:t>
            </w:r>
          </w:p>
        </w:tc>
        <w:tc>
          <w:tcPr>
            <w:tcW w:w="9032" w:type="dxa"/>
            <w:vAlign w:val="center"/>
            <w:hideMark/>
          </w:tcPr>
          <w:p w14:paraId="44A19D90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Examina los efectos salariales de ascensos y descensos interinos y el tratamiento de anualidades antes y después de la Ley N° 9635.</w:t>
            </w:r>
          </w:p>
        </w:tc>
        <w:tc>
          <w:tcPr>
            <w:tcW w:w="5245" w:type="dxa"/>
            <w:vAlign w:val="center"/>
            <w:hideMark/>
          </w:tcPr>
          <w:p w14:paraId="07267F53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ascenso interino; anualidades; salario; empleo público</w:t>
            </w:r>
          </w:p>
        </w:tc>
      </w:tr>
      <w:tr w:rsidR="001151AC" w:rsidRPr="00662663" w14:paraId="375C34FF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77A72D9C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AL-0772-2021</w:t>
            </w:r>
          </w:p>
        </w:tc>
        <w:tc>
          <w:tcPr>
            <w:tcW w:w="3566" w:type="dxa"/>
            <w:vAlign w:val="center"/>
            <w:hideMark/>
          </w:tcPr>
          <w:p w14:paraId="4F1518A3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Superior vigilancia y Ley N° 4558</w:t>
            </w:r>
          </w:p>
        </w:tc>
        <w:tc>
          <w:tcPr>
            <w:tcW w:w="9032" w:type="dxa"/>
            <w:vAlign w:val="center"/>
            <w:hideMark/>
          </w:tcPr>
          <w:p w14:paraId="775F160E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Analiza las competencias institucionales en terrenos sometidos a regímenes especiales y su relación con la superior y general vigilancia del ICT sobre la ZMT.</w:t>
            </w:r>
          </w:p>
        </w:tc>
        <w:tc>
          <w:tcPr>
            <w:tcW w:w="5245" w:type="dxa"/>
            <w:vAlign w:val="center"/>
            <w:hideMark/>
          </w:tcPr>
          <w:p w14:paraId="15DE060F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superior vigilancia; Ley 4558; ZMT; competencia</w:t>
            </w:r>
          </w:p>
        </w:tc>
      </w:tr>
      <w:tr w:rsidR="001151AC" w:rsidRPr="00662663" w14:paraId="5112D0F2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6769DB4D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AL-1252-2021</w:t>
            </w:r>
          </w:p>
        </w:tc>
        <w:tc>
          <w:tcPr>
            <w:tcW w:w="3566" w:type="dxa"/>
            <w:vAlign w:val="center"/>
            <w:hideMark/>
          </w:tcPr>
          <w:p w14:paraId="4FD6639D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Entrega de información en formato técnico</w:t>
            </w:r>
          </w:p>
        </w:tc>
        <w:tc>
          <w:tcPr>
            <w:tcW w:w="9032" w:type="dxa"/>
            <w:vAlign w:val="center"/>
            <w:hideMark/>
          </w:tcPr>
          <w:p w14:paraId="6EB8571F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Cuando una institución pública o gobierno local requiere información en un formato técnico disponible para atender un fin público, debe privilegiarse la coordinación interinstitucional y facilitarse en dicho formato.</w:t>
            </w:r>
          </w:p>
        </w:tc>
        <w:tc>
          <w:tcPr>
            <w:tcW w:w="5245" w:type="dxa"/>
            <w:vAlign w:val="center"/>
            <w:hideMark/>
          </w:tcPr>
          <w:p w14:paraId="30F33F57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información; formato shape; coordinación; planificación</w:t>
            </w:r>
          </w:p>
        </w:tc>
      </w:tr>
      <w:tr w:rsidR="001151AC" w:rsidRPr="00662663" w14:paraId="7CD0FBF5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59E6C308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AL-1264-2021</w:t>
            </w:r>
          </w:p>
        </w:tc>
        <w:tc>
          <w:tcPr>
            <w:tcW w:w="3566" w:type="dxa"/>
            <w:vAlign w:val="center"/>
            <w:hideMark/>
          </w:tcPr>
          <w:p w14:paraId="7856EF5B" w14:textId="4935E181" w:rsidR="001151AC" w:rsidRPr="00662663" w:rsidRDefault="00760111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60111">
              <w:rPr>
                <w:sz w:val="20"/>
                <w:szCs w:val="20"/>
              </w:rPr>
              <w:t>Aplicación de transitorio VIII ley 6043 exoneración para policía cobro de canon de concesión en Papagayo</w:t>
            </w:r>
          </w:p>
        </w:tc>
        <w:tc>
          <w:tcPr>
            <w:tcW w:w="9032" w:type="dxa"/>
            <w:vAlign w:val="center"/>
            <w:hideMark/>
          </w:tcPr>
          <w:p w14:paraId="3A2961F5" w14:textId="33245143" w:rsidR="001151AC" w:rsidRPr="00662663" w:rsidRDefault="00760111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60111">
              <w:rPr>
                <w:sz w:val="20"/>
                <w:szCs w:val="20"/>
              </w:rPr>
              <w:t>Analiza el régimen jurídico del canon dentro del Proyecto Turístico Golfo de Papagayo, las obligaciones económicas derivadas de las concesiones y la aplicación supletoria de la Ley 6043 en el PTGP ante vacío normativo.</w:t>
            </w:r>
          </w:p>
        </w:tc>
        <w:tc>
          <w:tcPr>
            <w:tcW w:w="5245" w:type="dxa"/>
            <w:vAlign w:val="center"/>
            <w:hideMark/>
          </w:tcPr>
          <w:p w14:paraId="609FBD0F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Papagayo; canon; concesión; obligaciones</w:t>
            </w:r>
          </w:p>
        </w:tc>
      </w:tr>
      <w:tr w:rsidR="001151AC" w:rsidRPr="00662663" w14:paraId="7DE17F60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785ED379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AL-1279-2021</w:t>
            </w:r>
          </w:p>
        </w:tc>
        <w:tc>
          <w:tcPr>
            <w:tcW w:w="3566" w:type="dxa"/>
            <w:vAlign w:val="center"/>
            <w:hideMark/>
          </w:tcPr>
          <w:p w14:paraId="0216E4C5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Derecho de petición y autonomía municipal</w:t>
            </w:r>
          </w:p>
        </w:tc>
        <w:tc>
          <w:tcPr>
            <w:tcW w:w="9032" w:type="dxa"/>
            <w:vAlign w:val="center"/>
            <w:hideMark/>
          </w:tcPr>
          <w:p w14:paraId="435319B5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El plazo constitucional de petición no sirve para exigir la nulidad o modificación de actos administrativos. En ZMT, la administración corresponde a las municipalidades y el ICT ejerce superior vigilancia.</w:t>
            </w:r>
          </w:p>
        </w:tc>
        <w:tc>
          <w:tcPr>
            <w:tcW w:w="5245" w:type="dxa"/>
            <w:vAlign w:val="center"/>
            <w:hideMark/>
          </w:tcPr>
          <w:p w14:paraId="660DFAD0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petición; autonomía municipal; plazo; ZMT</w:t>
            </w:r>
          </w:p>
        </w:tc>
      </w:tr>
      <w:tr w:rsidR="001151AC" w:rsidRPr="00662663" w14:paraId="3997181E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4EE08B79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AL-1286-2021</w:t>
            </w:r>
          </w:p>
        </w:tc>
        <w:tc>
          <w:tcPr>
            <w:tcW w:w="3566" w:type="dxa"/>
            <w:vAlign w:val="center"/>
            <w:hideMark/>
          </w:tcPr>
          <w:p w14:paraId="77D73E93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Ley Orgánica del ICT y fideicomisos de administración</w:t>
            </w:r>
          </w:p>
        </w:tc>
        <w:tc>
          <w:tcPr>
            <w:tcW w:w="9032" w:type="dxa"/>
            <w:vAlign w:val="center"/>
            <w:hideMark/>
          </w:tcPr>
          <w:p w14:paraId="1788727C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Analiza la habilitación jurídica institucional para estructurar fideicomisos de administración en relación con las competencias conferidas al ICT por su Ley Orgánica.</w:t>
            </w:r>
          </w:p>
        </w:tc>
        <w:tc>
          <w:tcPr>
            <w:tcW w:w="5245" w:type="dxa"/>
            <w:vAlign w:val="center"/>
            <w:hideMark/>
          </w:tcPr>
          <w:p w14:paraId="689CB3DF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fideicomiso; Ley Orgánica; administración; ICT</w:t>
            </w:r>
          </w:p>
        </w:tc>
      </w:tr>
      <w:tr w:rsidR="001151AC" w:rsidRPr="00662663" w14:paraId="3EF84808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74850BDD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lastRenderedPageBreak/>
              <w:t>AL-1303-2021</w:t>
            </w:r>
          </w:p>
        </w:tc>
        <w:tc>
          <w:tcPr>
            <w:tcW w:w="3566" w:type="dxa"/>
            <w:vAlign w:val="center"/>
            <w:hideMark/>
          </w:tcPr>
          <w:p w14:paraId="3DCC5773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Transferencia de permisos de transporte turístico</w:t>
            </w:r>
          </w:p>
        </w:tc>
        <w:tc>
          <w:tcPr>
            <w:tcW w:w="9032" w:type="dxa"/>
            <w:vAlign w:val="center"/>
            <w:hideMark/>
          </w:tcPr>
          <w:p w14:paraId="6343B9FB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El permiso de transporte turístico es personalísimo y no puede cederse. El cambio de propietarios del capital social no equivale a cesión cuando subsiste la misma persona jurídica.</w:t>
            </w:r>
          </w:p>
        </w:tc>
        <w:tc>
          <w:tcPr>
            <w:tcW w:w="5245" w:type="dxa"/>
            <w:vAlign w:val="center"/>
            <w:hideMark/>
          </w:tcPr>
          <w:p w14:paraId="3842BEE8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transporte; permiso; cesión; capital social</w:t>
            </w:r>
          </w:p>
        </w:tc>
      </w:tr>
      <w:tr w:rsidR="001151AC" w:rsidRPr="00662663" w14:paraId="46503BD7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55F03AE3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AL-1304-2021</w:t>
            </w:r>
          </w:p>
        </w:tc>
        <w:tc>
          <w:tcPr>
            <w:tcW w:w="3566" w:type="dxa"/>
            <w:vAlign w:val="center"/>
            <w:hideMark/>
          </w:tcPr>
          <w:p w14:paraId="0E6DE4E0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Hospedaje no tradicional</w:t>
            </w:r>
          </w:p>
        </w:tc>
        <w:tc>
          <w:tcPr>
            <w:tcW w:w="9032" w:type="dxa"/>
            <w:vAlign w:val="center"/>
            <w:hideMark/>
          </w:tcPr>
          <w:p w14:paraId="28F22C09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Distingue a los prestatarios de hospedaje no tradicional y a las empresas intermediarias o comercializadoras sujetas al registro establecido por la Ley N° 9742.</w:t>
            </w:r>
          </w:p>
        </w:tc>
        <w:tc>
          <w:tcPr>
            <w:tcW w:w="5245" w:type="dxa"/>
            <w:vAlign w:val="center"/>
            <w:hideMark/>
          </w:tcPr>
          <w:p w14:paraId="6D9013C2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hospedaje no tradicional; plataformas; registro</w:t>
            </w:r>
          </w:p>
        </w:tc>
      </w:tr>
      <w:tr w:rsidR="001151AC" w:rsidRPr="00662663" w14:paraId="0B5F18C0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2" w:type="dxa"/>
            <w:vAlign w:val="center"/>
            <w:hideMark/>
          </w:tcPr>
          <w:p w14:paraId="0F148D03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AL-1344-2021</w:t>
            </w:r>
          </w:p>
        </w:tc>
        <w:tc>
          <w:tcPr>
            <w:tcW w:w="3566" w:type="dxa"/>
            <w:vAlign w:val="center"/>
            <w:hideMark/>
          </w:tcPr>
          <w:p w14:paraId="18F70D48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Protocolos de acceso a playas y concesiones</w:t>
            </w:r>
          </w:p>
        </w:tc>
        <w:tc>
          <w:tcPr>
            <w:tcW w:w="9032" w:type="dxa"/>
            <w:vAlign w:val="center"/>
            <w:hideMark/>
          </w:tcPr>
          <w:p w14:paraId="58C540F9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Las instalaciones temporales asociadas a protocolos de ingreso a playas deben respetar el contrato de concesión, el plan regulador y las limitaciones legales de la ZMT.</w:t>
            </w:r>
          </w:p>
        </w:tc>
        <w:tc>
          <w:tcPr>
            <w:tcW w:w="5245" w:type="dxa"/>
            <w:vAlign w:val="center"/>
            <w:hideMark/>
          </w:tcPr>
          <w:p w14:paraId="225A64AE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playas; protocolo; concesión; instalaciones</w:t>
            </w:r>
          </w:p>
        </w:tc>
      </w:tr>
    </w:tbl>
    <w:p w14:paraId="1E7CB372" w14:textId="77777777" w:rsidR="00662663" w:rsidRDefault="00662663" w:rsidP="00536FD6">
      <w:pPr>
        <w:spacing w:before="120" w:after="120" w:line="240" w:lineRule="auto"/>
        <w:rPr>
          <w:sz w:val="20"/>
          <w:szCs w:val="20"/>
        </w:rPr>
      </w:pPr>
    </w:p>
    <w:p w14:paraId="4D96A2F2" w14:textId="50F8EEAA" w:rsidR="00662663" w:rsidRDefault="00662663" w:rsidP="00536FD6">
      <w:pPr>
        <w:spacing w:before="120" w:after="120" w:line="240" w:lineRule="auto"/>
        <w:rPr>
          <w:sz w:val="20"/>
          <w:szCs w:val="20"/>
        </w:rPr>
      </w:pPr>
      <w:r>
        <w:rPr>
          <w:sz w:val="20"/>
          <w:szCs w:val="20"/>
        </w:rPr>
        <w:t>2022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1656"/>
        <w:gridCol w:w="2680"/>
        <w:gridCol w:w="9834"/>
        <w:gridCol w:w="5262"/>
      </w:tblGrid>
      <w:tr w:rsidR="001151AC" w:rsidRPr="00662663" w14:paraId="198325EC" w14:textId="77777777" w:rsidTr="001151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42D65036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N° de criterio</w:t>
            </w:r>
          </w:p>
        </w:tc>
        <w:tc>
          <w:tcPr>
            <w:tcW w:w="2680" w:type="dxa"/>
            <w:hideMark/>
          </w:tcPr>
          <w:p w14:paraId="70FFD53C" w14:textId="77777777" w:rsidR="001151AC" w:rsidRPr="00662663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Tema principal</w:t>
            </w:r>
          </w:p>
        </w:tc>
        <w:tc>
          <w:tcPr>
            <w:tcW w:w="9834" w:type="dxa"/>
            <w:hideMark/>
          </w:tcPr>
          <w:p w14:paraId="21A44719" w14:textId="77777777" w:rsidR="001151AC" w:rsidRPr="00662663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Resumen ejecutivo</w:t>
            </w:r>
          </w:p>
        </w:tc>
        <w:tc>
          <w:tcPr>
            <w:tcW w:w="5262" w:type="dxa"/>
            <w:hideMark/>
          </w:tcPr>
          <w:p w14:paraId="36485DED" w14:textId="77777777" w:rsidR="001151AC" w:rsidRPr="00662663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Palabras clave</w:t>
            </w:r>
          </w:p>
        </w:tc>
      </w:tr>
      <w:tr w:rsidR="001151AC" w:rsidRPr="00662663" w14:paraId="2C85C2C5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57527EFD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AL-0212-2022</w:t>
            </w:r>
          </w:p>
        </w:tc>
        <w:tc>
          <w:tcPr>
            <w:tcW w:w="2680" w:type="dxa"/>
            <w:hideMark/>
          </w:tcPr>
          <w:p w14:paraId="7E34DDF8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Hospedaje no tradicional e impuesto solidario</w:t>
            </w:r>
          </w:p>
        </w:tc>
        <w:tc>
          <w:tcPr>
            <w:tcW w:w="9834" w:type="dxa"/>
            <w:hideMark/>
          </w:tcPr>
          <w:p w14:paraId="4D347DEF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La determinación de obligaciones tributarias de prestatarios de hospedaje no tradicional corresponde a la Administración Tributaria; el régimen de la Ley N° 9742 no sustituye las reglas tributarias especiales.</w:t>
            </w:r>
          </w:p>
        </w:tc>
        <w:tc>
          <w:tcPr>
            <w:tcW w:w="5262" w:type="dxa"/>
            <w:hideMark/>
          </w:tcPr>
          <w:p w14:paraId="71D029FD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hospedaje; impuesto solidario; Hacienda; Ley 9742</w:t>
            </w:r>
          </w:p>
        </w:tc>
      </w:tr>
      <w:tr w:rsidR="001151AC" w:rsidRPr="00662663" w14:paraId="7C0EE45A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228DCA59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AL-0585-2022</w:t>
            </w:r>
          </w:p>
        </w:tc>
        <w:tc>
          <w:tcPr>
            <w:tcW w:w="2680" w:type="dxa"/>
            <w:hideMark/>
          </w:tcPr>
          <w:p w14:paraId="5804E381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Exoneraciones de organismos de Naciones Unidas</w:t>
            </w:r>
          </w:p>
        </w:tc>
        <w:tc>
          <w:tcPr>
            <w:tcW w:w="9834" w:type="dxa"/>
            <w:hideMark/>
          </w:tcPr>
          <w:p w14:paraId="4E98C1E0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Los organismos de Naciones Unidas pueden beneficiarse de las exenciones previstas en la Convención sobre Prerrogativas e Inmunidades, conforme a la naturaleza de los recursos y gastos realizados.</w:t>
            </w:r>
          </w:p>
        </w:tc>
        <w:tc>
          <w:tcPr>
            <w:tcW w:w="5262" w:type="dxa"/>
            <w:hideMark/>
          </w:tcPr>
          <w:p w14:paraId="55528B6F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ONU; exoneración; impuestos; boletos internacionales</w:t>
            </w:r>
          </w:p>
        </w:tc>
      </w:tr>
      <w:tr w:rsidR="001151AC" w:rsidRPr="00662663" w14:paraId="693A1AE1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625B5564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AL-0601-2022</w:t>
            </w:r>
          </w:p>
        </w:tc>
        <w:tc>
          <w:tcPr>
            <w:tcW w:w="2680" w:type="dxa"/>
            <w:hideMark/>
          </w:tcPr>
          <w:p w14:paraId="2C5E90C6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Infraestructura turística municipal</w:t>
            </w:r>
          </w:p>
        </w:tc>
        <w:tc>
          <w:tcPr>
            <w:tcW w:w="9834" w:type="dxa"/>
            <w:hideMark/>
          </w:tcPr>
          <w:p w14:paraId="42E4B626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La inversión municipal de recursos destinados legalmente a infraestructura turística no exige que cada proyecto tenga Declaratoria Turística del ICT, pues el concepto legal de infraestructura turística es más amplio.</w:t>
            </w:r>
          </w:p>
        </w:tc>
        <w:tc>
          <w:tcPr>
            <w:tcW w:w="5262" w:type="dxa"/>
            <w:hideMark/>
          </w:tcPr>
          <w:p w14:paraId="5B2CAED0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infraestructura; municipalidad; declaratoria turística; fondos</w:t>
            </w:r>
          </w:p>
        </w:tc>
      </w:tr>
      <w:tr w:rsidR="001151AC" w:rsidRPr="00662663" w14:paraId="24BC3F0C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752611D0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AL-0609-2022</w:t>
            </w:r>
          </w:p>
        </w:tc>
        <w:tc>
          <w:tcPr>
            <w:tcW w:w="2680" w:type="dxa"/>
            <w:hideMark/>
          </w:tcPr>
          <w:p w14:paraId="4900374D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Licencias de licores clase E</w:t>
            </w:r>
          </w:p>
        </w:tc>
        <w:tc>
          <w:tcPr>
            <w:tcW w:w="9834" w:type="dxa"/>
            <w:hideMark/>
          </w:tcPr>
          <w:p w14:paraId="28567405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La Declaratoria Turística del ICT no sustituye las competencias municipales para otorgar licencias de bebidas con contenido alcohólico; cada autoridad actúa dentro de sus atribuciones legales.</w:t>
            </w:r>
          </w:p>
        </w:tc>
        <w:tc>
          <w:tcPr>
            <w:tcW w:w="5262" w:type="dxa"/>
            <w:hideMark/>
          </w:tcPr>
          <w:p w14:paraId="17AD9EA3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patente; licencia E; licores; declaratoria turística</w:t>
            </w:r>
          </w:p>
        </w:tc>
      </w:tr>
      <w:tr w:rsidR="001151AC" w:rsidRPr="00662663" w14:paraId="33B4133F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64CB7C02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AL-0688-2022</w:t>
            </w:r>
          </w:p>
        </w:tc>
        <w:tc>
          <w:tcPr>
            <w:tcW w:w="2680" w:type="dxa"/>
            <w:hideMark/>
          </w:tcPr>
          <w:p w14:paraId="49922029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Certificado de Sostenibilidad Turística</w:t>
            </w:r>
          </w:p>
        </w:tc>
        <w:tc>
          <w:tcPr>
            <w:tcW w:w="9834" w:type="dxa"/>
            <w:hideMark/>
          </w:tcPr>
          <w:p w14:paraId="05E89DFD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Analiza aspectos jurídicos del programa CST y las relaciones funcionales de sus órganos y representantes institucionales.</w:t>
            </w:r>
          </w:p>
        </w:tc>
        <w:tc>
          <w:tcPr>
            <w:tcW w:w="5262" w:type="dxa"/>
            <w:hideMark/>
          </w:tcPr>
          <w:p w14:paraId="4801A543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CST; sostenibilidad; órganos; competencia</w:t>
            </w:r>
          </w:p>
        </w:tc>
      </w:tr>
      <w:tr w:rsidR="001151AC" w:rsidRPr="00662663" w14:paraId="0C923C92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1E53207F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AL-0731-2022</w:t>
            </w:r>
          </w:p>
        </w:tc>
        <w:tc>
          <w:tcPr>
            <w:tcW w:w="2680" w:type="dxa"/>
            <w:hideMark/>
          </w:tcPr>
          <w:p w14:paraId="3CD23F5C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Plazo de inicio de obras en ZMT</w:t>
            </w:r>
          </w:p>
        </w:tc>
        <w:tc>
          <w:tcPr>
            <w:tcW w:w="9834" w:type="dxa"/>
            <w:hideMark/>
          </w:tcPr>
          <w:p w14:paraId="68D5722E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El acuerdo institucional que recomienda plazos máximos para iniciar obras es compatible con el régimen de ZMT. El cómputo debe vincularse con la firma del contrato y la disponibilidad de servicios básicos.</w:t>
            </w:r>
          </w:p>
        </w:tc>
        <w:tc>
          <w:tcPr>
            <w:tcW w:w="5262" w:type="dxa"/>
            <w:hideMark/>
          </w:tcPr>
          <w:p w14:paraId="5F8A2CAB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inicio de obras; plazo; servicios básicos; concesión</w:t>
            </w:r>
          </w:p>
        </w:tc>
      </w:tr>
      <w:tr w:rsidR="001151AC" w:rsidRPr="00662663" w14:paraId="1DAFC7AC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612A6981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lastRenderedPageBreak/>
              <w:t>AL-0764-2022</w:t>
            </w:r>
          </w:p>
        </w:tc>
        <w:tc>
          <w:tcPr>
            <w:tcW w:w="2680" w:type="dxa"/>
            <w:hideMark/>
          </w:tcPr>
          <w:p w14:paraId="30D96B65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Guías y turismo de aventura</w:t>
            </w:r>
          </w:p>
        </w:tc>
        <w:tc>
          <w:tcPr>
            <w:tcW w:w="9834" w:type="dxa"/>
            <w:hideMark/>
          </w:tcPr>
          <w:p w14:paraId="1FF9D683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El Reglamento de Turismo de Aventura no regula la figura de inopia en materia de guías; cualquier solución debe respetar estrictamente las competencias y requisitos normativos.</w:t>
            </w:r>
          </w:p>
        </w:tc>
        <w:tc>
          <w:tcPr>
            <w:tcW w:w="5262" w:type="dxa"/>
            <w:hideMark/>
          </w:tcPr>
          <w:p w14:paraId="4EA72ABE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 xml:space="preserve">guías; turismo aventura; inopia; </w:t>
            </w:r>
            <w:proofErr w:type="spellStart"/>
            <w:r w:rsidRPr="00662663">
              <w:rPr>
                <w:sz w:val="20"/>
                <w:szCs w:val="20"/>
              </w:rPr>
              <w:t>CONAGUITUR</w:t>
            </w:r>
            <w:proofErr w:type="spellEnd"/>
          </w:p>
        </w:tc>
      </w:tr>
      <w:tr w:rsidR="001151AC" w:rsidRPr="00662663" w14:paraId="4B749603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7B8BE314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AL-1218-2022</w:t>
            </w:r>
          </w:p>
        </w:tc>
        <w:tc>
          <w:tcPr>
            <w:tcW w:w="2680" w:type="dxa"/>
            <w:hideMark/>
          </w:tcPr>
          <w:p w14:paraId="73181811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Titulación de tierras en Villa Sierpe</w:t>
            </w:r>
          </w:p>
        </w:tc>
        <w:tc>
          <w:tcPr>
            <w:tcW w:w="9834" w:type="dxa"/>
            <w:hideMark/>
          </w:tcPr>
          <w:p w14:paraId="7E6035EA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El proyecto de desafectación y titulación debe respetar el régimen constitucional del dominio público y el carácter inalienable e imprescriptible de la ZMT.</w:t>
            </w:r>
          </w:p>
        </w:tc>
        <w:tc>
          <w:tcPr>
            <w:tcW w:w="5262" w:type="dxa"/>
            <w:hideMark/>
          </w:tcPr>
          <w:p w14:paraId="4C014805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Sierpe; dominio público; titulación; desafectación</w:t>
            </w:r>
          </w:p>
        </w:tc>
      </w:tr>
      <w:tr w:rsidR="001151AC" w:rsidRPr="00662663" w14:paraId="55FDCE2F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52ABD4F8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AL-1245-2022</w:t>
            </w:r>
          </w:p>
        </w:tc>
        <w:tc>
          <w:tcPr>
            <w:tcW w:w="2680" w:type="dxa"/>
            <w:hideMark/>
          </w:tcPr>
          <w:p w14:paraId="59F60517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Denegatoria de Declaratoria Turística</w:t>
            </w:r>
          </w:p>
        </w:tc>
        <w:tc>
          <w:tcPr>
            <w:tcW w:w="9834" w:type="dxa"/>
            <w:hideMark/>
          </w:tcPr>
          <w:p w14:paraId="4E2E1D6B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Confirma que el otorgamiento de Declaratoria Turística exige el cumplimiento previo de todos los requisitos legales y técnicos; su incumplimiento justifica la denegatoria.</w:t>
            </w:r>
          </w:p>
        </w:tc>
        <w:tc>
          <w:tcPr>
            <w:tcW w:w="5262" w:type="dxa"/>
            <w:hideMark/>
          </w:tcPr>
          <w:p w14:paraId="5A2B7872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declaratoria; agencia de viajes; requisitos; recurso</w:t>
            </w:r>
          </w:p>
        </w:tc>
      </w:tr>
      <w:tr w:rsidR="001151AC" w:rsidRPr="00662663" w14:paraId="3C93852E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04DBC8A1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AL-1251-2022</w:t>
            </w:r>
          </w:p>
        </w:tc>
        <w:tc>
          <w:tcPr>
            <w:tcW w:w="2680" w:type="dxa"/>
            <w:hideMark/>
          </w:tcPr>
          <w:p w14:paraId="3A44C298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Sesiones de órganos colegiados</w:t>
            </w:r>
          </w:p>
        </w:tc>
        <w:tc>
          <w:tcPr>
            <w:tcW w:w="9834" w:type="dxa"/>
            <w:hideMark/>
          </w:tcPr>
          <w:p w14:paraId="7AEA0746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Analiza publicidad, grabación y acceso a sesiones de órganos colegiados, en relación con la LGAP y el derecho de acceso a información pública.</w:t>
            </w:r>
          </w:p>
        </w:tc>
        <w:tc>
          <w:tcPr>
            <w:tcW w:w="5262" w:type="dxa"/>
            <w:hideMark/>
          </w:tcPr>
          <w:p w14:paraId="7F260242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órganos colegiados; sesiones; publicidad; grabación</w:t>
            </w:r>
          </w:p>
        </w:tc>
      </w:tr>
      <w:tr w:rsidR="001151AC" w:rsidRPr="00662663" w14:paraId="34F4A82F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02690943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AL-1427-2022</w:t>
            </w:r>
          </w:p>
        </w:tc>
        <w:tc>
          <w:tcPr>
            <w:tcW w:w="2680" w:type="dxa"/>
            <w:hideMark/>
          </w:tcPr>
          <w:p w14:paraId="76E51CC4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Nacionalidad y capital social en ZMT</w:t>
            </w:r>
          </w:p>
        </w:tc>
        <w:tc>
          <w:tcPr>
            <w:tcW w:w="9834" w:type="dxa"/>
            <w:hideMark/>
          </w:tcPr>
          <w:p w14:paraId="4E8D7753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La residencia migratoria no convierte al extranjero en costarricense para efectos del artículo 47. Las restricciones sobre capital social deben aplicarse conforme a la literalidad de la Ley N° 6043.</w:t>
            </w:r>
          </w:p>
        </w:tc>
        <w:tc>
          <w:tcPr>
            <w:tcW w:w="5262" w:type="dxa"/>
            <w:hideMark/>
          </w:tcPr>
          <w:p w14:paraId="24278930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extranjeros; capital; residencia; concesión</w:t>
            </w:r>
          </w:p>
        </w:tc>
      </w:tr>
      <w:tr w:rsidR="001151AC" w:rsidRPr="00662663" w14:paraId="2E786FBB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28E4CFEB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AL-1453-2022</w:t>
            </w:r>
          </w:p>
        </w:tc>
        <w:tc>
          <w:tcPr>
            <w:tcW w:w="2680" w:type="dxa"/>
            <w:hideMark/>
          </w:tcPr>
          <w:p w14:paraId="149F3EEB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Reconocimiento de anualidades</w:t>
            </w:r>
          </w:p>
        </w:tc>
        <w:tc>
          <w:tcPr>
            <w:tcW w:w="9834" w:type="dxa"/>
            <w:hideMark/>
          </w:tcPr>
          <w:p w14:paraId="3C3D6DDA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Establece reglas para reconocer anualidades según la procedencia laboral de la persona servidora y el momento en que se prestaron los servicios públicos.</w:t>
            </w:r>
          </w:p>
        </w:tc>
        <w:tc>
          <w:tcPr>
            <w:tcW w:w="5262" w:type="dxa"/>
            <w:hideMark/>
          </w:tcPr>
          <w:p w14:paraId="1BAC0BAE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anualidades; empleo público; Ley 9635</w:t>
            </w:r>
          </w:p>
        </w:tc>
      </w:tr>
      <w:tr w:rsidR="001151AC" w:rsidRPr="00662663" w14:paraId="63C6A698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5D631819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AL-1519-2022</w:t>
            </w:r>
          </w:p>
        </w:tc>
        <w:tc>
          <w:tcPr>
            <w:tcW w:w="2680" w:type="dxa"/>
            <w:hideMark/>
          </w:tcPr>
          <w:p w14:paraId="4B025742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Contrataciones en el exterior</w:t>
            </w:r>
          </w:p>
        </w:tc>
        <w:tc>
          <w:tcPr>
            <w:tcW w:w="9834" w:type="dxa"/>
            <w:hideMark/>
          </w:tcPr>
          <w:p w14:paraId="33DA6149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Las contrataciones realizadas y consumidas íntegramente fuera del país se encuentran excluidas de la Ley N° 9986, pero deben sujetarse a controles internos de transparencia, eficiencia y fiscalización.</w:t>
            </w:r>
          </w:p>
        </w:tc>
        <w:tc>
          <w:tcPr>
            <w:tcW w:w="5262" w:type="dxa"/>
            <w:hideMark/>
          </w:tcPr>
          <w:p w14:paraId="5BD2ECFC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 xml:space="preserve">contratación; exterior; </w:t>
            </w:r>
            <w:proofErr w:type="spellStart"/>
            <w:r w:rsidRPr="00662663">
              <w:rPr>
                <w:sz w:val="20"/>
                <w:szCs w:val="20"/>
              </w:rPr>
              <w:t>SICOP</w:t>
            </w:r>
            <w:proofErr w:type="spellEnd"/>
            <w:r w:rsidRPr="00662663">
              <w:rPr>
                <w:sz w:val="20"/>
                <w:szCs w:val="20"/>
              </w:rPr>
              <w:t>; exclusión</w:t>
            </w:r>
          </w:p>
        </w:tc>
      </w:tr>
      <w:tr w:rsidR="001151AC" w:rsidRPr="00662663" w14:paraId="54426541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56F1F906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AL-1526-2022</w:t>
            </w:r>
          </w:p>
        </w:tc>
        <w:tc>
          <w:tcPr>
            <w:tcW w:w="2680" w:type="dxa"/>
            <w:hideMark/>
          </w:tcPr>
          <w:p w14:paraId="290D561C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Poderes para licencia de charteo</w:t>
            </w:r>
          </w:p>
        </w:tc>
        <w:tc>
          <w:tcPr>
            <w:tcW w:w="9834" w:type="dxa"/>
            <w:hideMark/>
          </w:tcPr>
          <w:p w14:paraId="7FAD49DC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Para tramitar una licencia de charteo mediante representante debe acreditarse poder especial administrativo o poder de mayor alcance debidamente certificado.</w:t>
            </w:r>
          </w:p>
        </w:tc>
        <w:tc>
          <w:tcPr>
            <w:tcW w:w="5262" w:type="dxa"/>
            <w:hideMark/>
          </w:tcPr>
          <w:p w14:paraId="35F76705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CIMAT; charteo; poder; representación</w:t>
            </w:r>
          </w:p>
        </w:tc>
      </w:tr>
      <w:tr w:rsidR="001151AC" w:rsidRPr="00662663" w14:paraId="76824D5C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12334190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AL-1527-2022</w:t>
            </w:r>
          </w:p>
        </w:tc>
        <w:tc>
          <w:tcPr>
            <w:tcW w:w="2680" w:type="dxa"/>
            <w:hideMark/>
          </w:tcPr>
          <w:p w14:paraId="2DD40603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Anualidades 2020-2022</w:t>
            </w:r>
          </w:p>
        </w:tc>
        <w:tc>
          <w:tcPr>
            <w:tcW w:w="9834" w:type="dxa"/>
            <w:hideMark/>
          </w:tcPr>
          <w:p w14:paraId="39F77336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Analiza los efectos de la suspensión legal de anualidades y la contabilización de antigüedad para períodos posteriores.</w:t>
            </w:r>
          </w:p>
        </w:tc>
        <w:tc>
          <w:tcPr>
            <w:tcW w:w="5262" w:type="dxa"/>
            <w:hideMark/>
          </w:tcPr>
          <w:p w14:paraId="650BBB74" w14:textId="77777777" w:rsidR="001151AC" w:rsidRPr="00662663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anualidades; antigüedad; Ley 9908</w:t>
            </w:r>
          </w:p>
        </w:tc>
      </w:tr>
      <w:tr w:rsidR="001151AC" w:rsidRPr="00662663" w14:paraId="6D1CA830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hideMark/>
          </w:tcPr>
          <w:p w14:paraId="7FDEC5FE" w14:textId="77777777" w:rsidR="001151AC" w:rsidRPr="00662663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AL-1646-2022</w:t>
            </w:r>
          </w:p>
        </w:tc>
        <w:tc>
          <w:tcPr>
            <w:tcW w:w="2680" w:type="dxa"/>
            <w:hideMark/>
          </w:tcPr>
          <w:p w14:paraId="692C19A7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Transporte terrestre turístico</w:t>
            </w:r>
          </w:p>
        </w:tc>
        <w:tc>
          <w:tcPr>
            <w:tcW w:w="9834" w:type="dxa"/>
            <w:hideMark/>
          </w:tcPr>
          <w:p w14:paraId="5BE101B8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Para la primera certificación de un prestatario basta aportar un vehículo con antigüedad máxima de siete años; la norma no exige esa antigüedad para toda la flotilla.</w:t>
            </w:r>
          </w:p>
        </w:tc>
        <w:tc>
          <w:tcPr>
            <w:tcW w:w="5262" w:type="dxa"/>
            <w:hideMark/>
          </w:tcPr>
          <w:p w14:paraId="620BD8D1" w14:textId="77777777" w:rsidR="001151AC" w:rsidRPr="00662663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62663">
              <w:rPr>
                <w:sz w:val="20"/>
                <w:szCs w:val="20"/>
              </w:rPr>
              <w:t>transporte; vehículos; certificación</w:t>
            </w:r>
          </w:p>
        </w:tc>
      </w:tr>
    </w:tbl>
    <w:p w14:paraId="16B2D6F0" w14:textId="77777777" w:rsidR="00662663" w:rsidRDefault="00662663" w:rsidP="00536FD6">
      <w:pPr>
        <w:spacing w:before="120" w:after="120" w:line="240" w:lineRule="auto"/>
        <w:rPr>
          <w:sz w:val="20"/>
          <w:szCs w:val="20"/>
        </w:rPr>
      </w:pPr>
    </w:p>
    <w:p w14:paraId="0A670D51" w14:textId="2A33498C" w:rsidR="007A793F" w:rsidRPr="00CE33EE" w:rsidRDefault="007A793F" w:rsidP="00CE33EE">
      <w:pPr>
        <w:spacing w:before="120" w:after="120" w:line="240" w:lineRule="auto"/>
        <w:jc w:val="center"/>
        <w:rPr>
          <w:b/>
          <w:bCs/>
          <w:sz w:val="52"/>
          <w:szCs w:val="52"/>
        </w:rPr>
      </w:pPr>
      <w:r w:rsidRPr="00CE33EE">
        <w:rPr>
          <w:b/>
          <w:bCs/>
          <w:sz w:val="52"/>
          <w:szCs w:val="52"/>
        </w:rPr>
        <w:t>2023</w:t>
      </w:r>
    </w:p>
    <w:p w14:paraId="6EEE1DE8" w14:textId="77777777" w:rsidR="007A793F" w:rsidRDefault="007A793F" w:rsidP="00536FD6">
      <w:pPr>
        <w:spacing w:before="120" w:after="120" w:line="240" w:lineRule="auto"/>
        <w:rPr>
          <w:sz w:val="20"/>
          <w:szCs w:val="20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1656"/>
        <w:gridCol w:w="2579"/>
        <w:gridCol w:w="9935"/>
        <w:gridCol w:w="5262"/>
      </w:tblGrid>
      <w:tr w:rsidR="001151AC" w:rsidRPr="007A793F" w14:paraId="36E05C8A" w14:textId="77777777" w:rsidTr="001151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4FE58BA8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N° de criterio</w:t>
            </w:r>
          </w:p>
        </w:tc>
        <w:tc>
          <w:tcPr>
            <w:tcW w:w="2579" w:type="dxa"/>
            <w:vAlign w:val="center"/>
            <w:hideMark/>
          </w:tcPr>
          <w:p w14:paraId="05EC3FFB" w14:textId="77777777" w:rsidR="001151AC" w:rsidRPr="007A793F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Tema principal</w:t>
            </w:r>
          </w:p>
        </w:tc>
        <w:tc>
          <w:tcPr>
            <w:tcW w:w="9935" w:type="dxa"/>
            <w:vAlign w:val="center"/>
            <w:hideMark/>
          </w:tcPr>
          <w:p w14:paraId="535F2460" w14:textId="77777777" w:rsidR="001151AC" w:rsidRPr="007A793F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Resumen ejecutivo</w:t>
            </w:r>
          </w:p>
        </w:tc>
        <w:tc>
          <w:tcPr>
            <w:tcW w:w="5262" w:type="dxa"/>
            <w:vAlign w:val="center"/>
            <w:hideMark/>
          </w:tcPr>
          <w:p w14:paraId="04034674" w14:textId="77777777" w:rsidR="001151AC" w:rsidRPr="007A793F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Palabras clave</w:t>
            </w:r>
          </w:p>
        </w:tc>
      </w:tr>
      <w:tr w:rsidR="001151AC" w:rsidRPr="007A793F" w14:paraId="2B25F8E7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584ADB65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AL-0198-2023</w:t>
            </w:r>
          </w:p>
        </w:tc>
        <w:tc>
          <w:tcPr>
            <w:tcW w:w="2579" w:type="dxa"/>
            <w:vAlign w:val="center"/>
            <w:hideMark/>
          </w:tcPr>
          <w:p w14:paraId="185C443E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Bares y Declaratoria Turística</w:t>
            </w:r>
          </w:p>
        </w:tc>
        <w:tc>
          <w:tcPr>
            <w:tcW w:w="9935" w:type="dxa"/>
            <w:vAlign w:val="center"/>
            <w:hideMark/>
          </w:tcPr>
          <w:p w14:paraId="26B2C4F5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Bajo el Reglamento vigente, los bares o centros de diversión nocturna no forman parte de las tipologías a las que el ICT puede otorgar Declaratoria Turística.</w:t>
            </w:r>
          </w:p>
        </w:tc>
        <w:tc>
          <w:tcPr>
            <w:tcW w:w="5262" w:type="dxa"/>
            <w:vAlign w:val="center"/>
            <w:hideMark/>
          </w:tcPr>
          <w:p w14:paraId="333ABAF4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bar; declaratoria turística; actividad turística</w:t>
            </w:r>
          </w:p>
        </w:tc>
      </w:tr>
      <w:tr w:rsidR="001151AC" w:rsidRPr="007A793F" w14:paraId="470453BF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6ACA7920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AL-0215-2023</w:t>
            </w:r>
          </w:p>
        </w:tc>
        <w:tc>
          <w:tcPr>
            <w:tcW w:w="2579" w:type="dxa"/>
            <w:vAlign w:val="center"/>
            <w:hideMark/>
          </w:tcPr>
          <w:p w14:paraId="2FAEBB37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Reforma al Reglamento de Hospedaje</w:t>
            </w:r>
          </w:p>
        </w:tc>
        <w:tc>
          <w:tcPr>
            <w:tcW w:w="9935" w:type="dxa"/>
            <w:vAlign w:val="center"/>
            <w:hideMark/>
          </w:tcPr>
          <w:p w14:paraId="5D50FD3A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Se verifica que la propuesta de reforma cumple jurídicamente con las observaciones formuladas y dispone de los insumos técnicos requeridos para continuar el procedimiento reglamentario.</w:t>
            </w:r>
          </w:p>
        </w:tc>
        <w:tc>
          <w:tcPr>
            <w:tcW w:w="5262" w:type="dxa"/>
            <w:vAlign w:val="center"/>
            <w:hideMark/>
          </w:tcPr>
          <w:p w14:paraId="070F8885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hospedaje; reglamento; reforma</w:t>
            </w:r>
          </w:p>
        </w:tc>
      </w:tr>
      <w:tr w:rsidR="001151AC" w:rsidRPr="007A793F" w14:paraId="1D5BEC30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0C0DAEEA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AL-0333-2023</w:t>
            </w:r>
          </w:p>
        </w:tc>
        <w:tc>
          <w:tcPr>
            <w:tcW w:w="2579" w:type="dxa"/>
            <w:vAlign w:val="center"/>
            <w:hideMark/>
          </w:tcPr>
          <w:p w14:paraId="77013EFB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Modificaciones mayores y menores en CIMAT</w:t>
            </w:r>
          </w:p>
        </w:tc>
        <w:tc>
          <w:tcPr>
            <w:tcW w:w="9935" w:type="dxa"/>
            <w:vAlign w:val="center"/>
            <w:hideMark/>
          </w:tcPr>
          <w:p w14:paraId="05DA147B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Las modificaciones menores aprobadas antes de una reforma reglamentaria no pueden acumularse retroactivamente para recalificarlas como modificación mayor, en protección de la seguridad jurídica.</w:t>
            </w:r>
          </w:p>
        </w:tc>
        <w:tc>
          <w:tcPr>
            <w:tcW w:w="5262" w:type="dxa"/>
            <w:vAlign w:val="center"/>
            <w:hideMark/>
          </w:tcPr>
          <w:p w14:paraId="1A505860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CIMAT; modificación; irretroactividad; seguridad jurídica</w:t>
            </w:r>
          </w:p>
        </w:tc>
      </w:tr>
      <w:tr w:rsidR="001151AC" w:rsidRPr="007A793F" w14:paraId="21909739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6A809D17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AL-0370-2023</w:t>
            </w:r>
          </w:p>
        </w:tc>
        <w:tc>
          <w:tcPr>
            <w:tcW w:w="2579" w:type="dxa"/>
            <w:vAlign w:val="center"/>
            <w:hideMark/>
          </w:tcPr>
          <w:p w14:paraId="142E8E2E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Deudas de concesionarios en Papagayo</w:t>
            </w:r>
          </w:p>
        </w:tc>
        <w:tc>
          <w:tcPr>
            <w:tcW w:w="9935" w:type="dxa"/>
            <w:vAlign w:val="center"/>
            <w:hideMark/>
          </w:tcPr>
          <w:p w14:paraId="591135D4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El ICT no debe asumir automáticamente las deudas de concesionarios salientes; deben diferenciarse canon, tributos y servicios municipales y analizarse las reglas de prescripción y responsabilidad.</w:t>
            </w:r>
          </w:p>
        </w:tc>
        <w:tc>
          <w:tcPr>
            <w:tcW w:w="5262" w:type="dxa"/>
            <w:vAlign w:val="center"/>
            <w:hideMark/>
          </w:tcPr>
          <w:p w14:paraId="044AEBEC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Papagayo; deuda; canon; impuesto</w:t>
            </w:r>
          </w:p>
        </w:tc>
      </w:tr>
      <w:tr w:rsidR="001151AC" w:rsidRPr="007A793F" w14:paraId="0E7C4327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43062386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AL-0498-2023</w:t>
            </w:r>
          </w:p>
        </w:tc>
        <w:tc>
          <w:tcPr>
            <w:tcW w:w="2579" w:type="dxa"/>
            <w:vAlign w:val="center"/>
            <w:hideMark/>
          </w:tcPr>
          <w:p w14:paraId="1D3C1AB1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Reajuste de precios</w:t>
            </w:r>
          </w:p>
        </w:tc>
        <w:tc>
          <w:tcPr>
            <w:tcW w:w="9935" w:type="dxa"/>
            <w:vAlign w:val="center"/>
            <w:hideMark/>
          </w:tcPr>
          <w:p w14:paraId="25D8AD80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El reajuste preserva el equilibrio económico-financiero del contrato administrativo y debe aplicarse conforme a la normativa y metodología contractual vigente.</w:t>
            </w:r>
          </w:p>
        </w:tc>
        <w:tc>
          <w:tcPr>
            <w:tcW w:w="5262" w:type="dxa"/>
            <w:vAlign w:val="center"/>
            <w:hideMark/>
          </w:tcPr>
          <w:p w14:paraId="0484DFFF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reajuste; precio; contratación; equilibrio financiero</w:t>
            </w:r>
          </w:p>
        </w:tc>
      </w:tr>
      <w:tr w:rsidR="001151AC" w:rsidRPr="007A793F" w14:paraId="4D6963C1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5028F6B9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AL-0641-2023</w:t>
            </w:r>
          </w:p>
        </w:tc>
        <w:tc>
          <w:tcPr>
            <w:tcW w:w="2579" w:type="dxa"/>
            <w:vAlign w:val="center"/>
            <w:hideMark/>
          </w:tcPr>
          <w:p w14:paraId="39142C20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Excepciones a la Ley N° 6043</w:t>
            </w:r>
          </w:p>
        </w:tc>
        <w:tc>
          <w:tcPr>
            <w:tcW w:w="9935" w:type="dxa"/>
            <w:vAlign w:val="center"/>
            <w:hideMark/>
          </w:tcPr>
          <w:p w14:paraId="55ED872A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ámbitos territoriales y situaciones sometidas a regímenes especiales que pueden quedar fuera del régimen ordinario de la Ley de ZMT.</w:t>
            </w:r>
          </w:p>
        </w:tc>
        <w:tc>
          <w:tcPr>
            <w:tcW w:w="5262" w:type="dxa"/>
            <w:vAlign w:val="center"/>
            <w:hideMark/>
          </w:tcPr>
          <w:p w14:paraId="1467314C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excepciones; ZMT; régimen especial</w:t>
            </w:r>
          </w:p>
        </w:tc>
      </w:tr>
      <w:tr w:rsidR="001151AC" w:rsidRPr="007A793F" w14:paraId="5B9F707D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5F24B755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AL-0666-2023</w:t>
            </w:r>
          </w:p>
        </w:tc>
        <w:tc>
          <w:tcPr>
            <w:tcW w:w="2579" w:type="dxa"/>
            <w:vAlign w:val="center"/>
            <w:hideMark/>
          </w:tcPr>
          <w:p w14:paraId="189806A8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Asuntos judicializados del PTGP</w:t>
            </w:r>
          </w:p>
        </w:tc>
        <w:tc>
          <w:tcPr>
            <w:tcW w:w="9935" w:type="dxa"/>
            <w:vAlign w:val="center"/>
            <w:hideMark/>
          </w:tcPr>
          <w:p w14:paraId="1B440D29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Cuando una controversia institucional se encuentra en sede judicial, la posición del ICT debe canalizarse dentro del proceso respectivo y evitar pronunciamientos paralelos sobre el fondo.</w:t>
            </w:r>
          </w:p>
        </w:tc>
        <w:tc>
          <w:tcPr>
            <w:tcW w:w="5262" w:type="dxa"/>
            <w:vAlign w:val="center"/>
            <w:hideMark/>
          </w:tcPr>
          <w:p w14:paraId="1CB9A53B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Papagayo; litigio; sede judicial</w:t>
            </w:r>
          </w:p>
        </w:tc>
      </w:tr>
      <w:tr w:rsidR="001151AC" w:rsidRPr="007A793F" w14:paraId="6EE6620B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0EAB5031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AL-0687-2023</w:t>
            </w:r>
          </w:p>
        </w:tc>
        <w:tc>
          <w:tcPr>
            <w:tcW w:w="2579" w:type="dxa"/>
            <w:vAlign w:val="center"/>
            <w:hideMark/>
          </w:tcPr>
          <w:p w14:paraId="1B56902A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Salario global en jerarquías</w:t>
            </w:r>
          </w:p>
        </w:tc>
        <w:tc>
          <w:tcPr>
            <w:tcW w:w="9935" w:type="dxa"/>
            <w:vAlign w:val="center"/>
            <w:hideMark/>
          </w:tcPr>
          <w:p w14:paraId="62E55374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la aplicación del salario global a puestos jerárquicos y su relación con el sistema de salario compuesto bajo la Ley Marco de Empleo Público.</w:t>
            </w:r>
          </w:p>
        </w:tc>
        <w:tc>
          <w:tcPr>
            <w:tcW w:w="5262" w:type="dxa"/>
            <w:vAlign w:val="center"/>
            <w:hideMark/>
          </w:tcPr>
          <w:p w14:paraId="12BF6BD3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salario global; jerarquía; empleo público</w:t>
            </w:r>
          </w:p>
        </w:tc>
      </w:tr>
      <w:tr w:rsidR="001151AC" w:rsidRPr="007A793F" w14:paraId="707C7725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74C3A6F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AL-0791-2023</w:t>
            </w:r>
          </w:p>
        </w:tc>
        <w:tc>
          <w:tcPr>
            <w:tcW w:w="2579" w:type="dxa"/>
            <w:vAlign w:val="center"/>
            <w:hideMark/>
          </w:tcPr>
          <w:p w14:paraId="25FD8214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Primero en tiempo, primero en derecho</w:t>
            </w:r>
          </w:p>
        </w:tc>
        <w:tc>
          <w:tcPr>
            <w:tcW w:w="9935" w:type="dxa"/>
            <w:vAlign w:val="center"/>
            <w:hideMark/>
          </w:tcPr>
          <w:p w14:paraId="097408C5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Primero deben verificarse requisitos y planificación; luego el orden de prioridades reglamentario, la condición de ocupante y finalmente, cuando proceda, la regla de primero en tiempo.</w:t>
            </w:r>
          </w:p>
        </w:tc>
        <w:tc>
          <w:tcPr>
            <w:tcW w:w="5262" w:type="dxa"/>
            <w:vAlign w:val="center"/>
            <w:hideMark/>
          </w:tcPr>
          <w:p w14:paraId="43811654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primero en tiempo; ocupante; prioridad; concesión</w:t>
            </w:r>
          </w:p>
        </w:tc>
      </w:tr>
      <w:tr w:rsidR="001151AC" w:rsidRPr="007A793F" w14:paraId="3DC2E157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71F3ABD1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AL-0839-2023</w:t>
            </w:r>
          </w:p>
        </w:tc>
        <w:tc>
          <w:tcPr>
            <w:tcW w:w="2579" w:type="dxa"/>
            <w:vAlign w:val="center"/>
            <w:hideMark/>
          </w:tcPr>
          <w:p w14:paraId="7F892082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Declaración tributaria D-151</w:t>
            </w:r>
          </w:p>
        </w:tc>
        <w:tc>
          <w:tcPr>
            <w:tcW w:w="9935" w:type="dxa"/>
            <w:vAlign w:val="center"/>
            <w:hideMark/>
          </w:tcPr>
          <w:p w14:paraId="4AB125FE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Las consultas sobre obligaciones tributarias corresponden a la Administración Tributaria y deben canalizarse mediante el procedimiento especial de consulta previsto en la normativa tributaria.</w:t>
            </w:r>
          </w:p>
        </w:tc>
        <w:tc>
          <w:tcPr>
            <w:tcW w:w="5262" w:type="dxa"/>
            <w:vAlign w:val="center"/>
            <w:hideMark/>
          </w:tcPr>
          <w:p w14:paraId="090B6A67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D-151; Hacienda; consulta tributaria</w:t>
            </w:r>
          </w:p>
        </w:tc>
      </w:tr>
      <w:tr w:rsidR="001151AC" w:rsidRPr="007A793F" w14:paraId="2589D231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784B9487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lastRenderedPageBreak/>
              <w:t>AL-0889-2023</w:t>
            </w:r>
          </w:p>
        </w:tc>
        <w:tc>
          <w:tcPr>
            <w:tcW w:w="2579" w:type="dxa"/>
            <w:vAlign w:val="center"/>
            <w:hideMark/>
          </w:tcPr>
          <w:p w14:paraId="0FFBEBD8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Inicio de obras en concesión ZMT</w:t>
            </w:r>
          </w:p>
        </w:tc>
        <w:tc>
          <w:tcPr>
            <w:tcW w:w="9935" w:type="dxa"/>
            <w:vAlign w:val="center"/>
            <w:hideMark/>
          </w:tcPr>
          <w:p w14:paraId="4E937D75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El plazo para iniciar obras corre desde la firma del contrato original de concesión, no desde una adenda posterior, y está condicionado a la disponibilidad de servicios básicos.</w:t>
            </w:r>
          </w:p>
        </w:tc>
        <w:tc>
          <w:tcPr>
            <w:tcW w:w="5262" w:type="dxa"/>
            <w:vAlign w:val="center"/>
            <w:hideMark/>
          </w:tcPr>
          <w:p w14:paraId="0B40CFFE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inicio de obras; contrato; adenda; servicios</w:t>
            </w:r>
          </w:p>
        </w:tc>
      </w:tr>
      <w:tr w:rsidR="001151AC" w:rsidRPr="007A793F" w14:paraId="19CAADE2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335160E4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AL-0953-2023</w:t>
            </w:r>
          </w:p>
        </w:tc>
        <w:tc>
          <w:tcPr>
            <w:tcW w:w="2579" w:type="dxa"/>
            <w:vAlign w:val="center"/>
            <w:hideMark/>
          </w:tcPr>
          <w:p w14:paraId="744109AB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Violencia contra las mujeres en la política</w:t>
            </w:r>
          </w:p>
        </w:tc>
        <w:tc>
          <w:tcPr>
            <w:tcW w:w="9935" w:type="dxa"/>
            <w:vAlign w:val="center"/>
            <w:hideMark/>
          </w:tcPr>
          <w:p w14:paraId="7E1CED6A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la aplicabilidad institucional de la Ley N° 10235 y su relación con la normativa interna sobre hostigamiento, igualdad y participación política.</w:t>
            </w:r>
          </w:p>
        </w:tc>
        <w:tc>
          <w:tcPr>
            <w:tcW w:w="5262" w:type="dxa"/>
            <w:vAlign w:val="center"/>
            <w:hideMark/>
          </w:tcPr>
          <w:p w14:paraId="36CCE4EF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igualdad; violencia política; género; reglamento</w:t>
            </w:r>
          </w:p>
        </w:tc>
      </w:tr>
      <w:tr w:rsidR="001151AC" w:rsidRPr="007A793F" w14:paraId="3E7EE220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0F7D828F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AL-0980-2023</w:t>
            </w:r>
          </w:p>
        </w:tc>
        <w:tc>
          <w:tcPr>
            <w:tcW w:w="2579" w:type="dxa"/>
            <w:vAlign w:val="center"/>
            <w:hideMark/>
          </w:tcPr>
          <w:p w14:paraId="576CDC17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Cancelación de Declaratoria Turística</w:t>
            </w:r>
          </w:p>
        </w:tc>
        <w:tc>
          <w:tcPr>
            <w:tcW w:w="9935" w:type="dxa"/>
            <w:vAlign w:val="center"/>
            <w:hideMark/>
          </w:tcPr>
          <w:p w14:paraId="06443161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causales y procedimiento para la cancelación de una Declaratoria Turística cuando dejan de cumplirse los requisitos que justificaron su otorgamiento.</w:t>
            </w:r>
          </w:p>
        </w:tc>
        <w:tc>
          <w:tcPr>
            <w:tcW w:w="5262" w:type="dxa"/>
            <w:vAlign w:val="center"/>
            <w:hideMark/>
          </w:tcPr>
          <w:p w14:paraId="0127139C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declaratoria; cancelación; empresa turística</w:t>
            </w:r>
          </w:p>
        </w:tc>
      </w:tr>
      <w:tr w:rsidR="001151AC" w:rsidRPr="007A793F" w14:paraId="6F18519E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24B5CA68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AL-0992-2023</w:t>
            </w:r>
          </w:p>
        </w:tc>
        <w:tc>
          <w:tcPr>
            <w:tcW w:w="2579" w:type="dxa"/>
            <w:vAlign w:val="center"/>
            <w:hideMark/>
          </w:tcPr>
          <w:p w14:paraId="67D42058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Canon en ZMT</w:t>
            </w:r>
          </w:p>
        </w:tc>
        <w:tc>
          <w:tcPr>
            <w:tcW w:w="9935" w:type="dxa"/>
            <w:vAlign w:val="center"/>
            <w:hideMark/>
          </w:tcPr>
          <w:p w14:paraId="4FE9AE9A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Desarrolla aspectos relativos a la determinación, exigibilidad o gestión del canon en concesiones de ZMT.</w:t>
            </w:r>
          </w:p>
        </w:tc>
        <w:tc>
          <w:tcPr>
            <w:tcW w:w="5262" w:type="dxa"/>
            <w:vAlign w:val="center"/>
            <w:hideMark/>
          </w:tcPr>
          <w:p w14:paraId="52DC3398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canon; concesión; ZMT</w:t>
            </w:r>
          </w:p>
        </w:tc>
      </w:tr>
      <w:tr w:rsidR="001151AC" w:rsidRPr="007A793F" w14:paraId="50CDF10A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3001150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AL-1017-2023</w:t>
            </w:r>
          </w:p>
        </w:tc>
        <w:tc>
          <w:tcPr>
            <w:tcW w:w="2579" w:type="dxa"/>
            <w:vAlign w:val="center"/>
            <w:hideMark/>
          </w:tcPr>
          <w:p w14:paraId="455AB737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Herencia e información posesoria</w:t>
            </w:r>
          </w:p>
        </w:tc>
        <w:tc>
          <w:tcPr>
            <w:tcW w:w="9935" w:type="dxa"/>
            <w:vAlign w:val="center"/>
            <w:hideMark/>
          </w:tcPr>
          <w:p w14:paraId="4433A15B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la transmisión sucesoria de derechos vinculados a concesiones y los límites de la información posesoria frente al carácter demanial de la ZMT.</w:t>
            </w:r>
          </w:p>
        </w:tc>
        <w:tc>
          <w:tcPr>
            <w:tcW w:w="5262" w:type="dxa"/>
            <w:vAlign w:val="center"/>
            <w:hideMark/>
          </w:tcPr>
          <w:p w14:paraId="0BC1FAE0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herencia; información posesoria; ZMT</w:t>
            </w:r>
          </w:p>
        </w:tc>
      </w:tr>
      <w:tr w:rsidR="001151AC" w:rsidRPr="007A793F" w14:paraId="49C14C29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07A4DFBB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AL-1084-2023</w:t>
            </w:r>
          </w:p>
        </w:tc>
        <w:tc>
          <w:tcPr>
            <w:tcW w:w="2579" w:type="dxa"/>
            <w:vAlign w:val="center"/>
            <w:hideMark/>
          </w:tcPr>
          <w:p w14:paraId="20FA9CB8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Alquiler de concesión</w:t>
            </w:r>
          </w:p>
        </w:tc>
        <w:tc>
          <w:tcPr>
            <w:tcW w:w="9935" w:type="dxa"/>
            <w:vAlign w:val="center"/>
            <w:hideMark/>
          </w:tcPr>
          <w:p w14:paraId="495B11B7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Examina la posibilidad de permitir a terceros utilizar bienes concesionados y los límites frente a la prohibición de ceder o trasladar derechos concesionales sin autorización.</w:t>
            </w:r>
          </w:p>
        </w:tc>
        <w:tc>
          <w:tcPr>
            <w:tcW w:w="5262" w:type="dxa"/>
            <w:vAlign w:val="center"/>
            <w:hideMark/>
          </w:tcPr>
          <w:p w14:paraId="45C36F46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alquiler; concesión; cesión; ZMT</w:t>
            </w:r>
          </w:p>
        </w:tc>
      </w:tr>
      <w:tr w:rsidR="001151AC" w:rsidRPr="007A793F" w14:paraId="69C3F232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793A154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AL-1128-2023</w:t>
            </w:r>
          </w:p>
        </w:tc>
        <w:tc>
          <w:tcPr>
            <w:tcW w:w="2579" w:type="dxa"/>
            <w:vAlign w:val="center"/>
            <w:hideMark/>
          </w:tcPr>
          <w:p w14:paraId="586E3CDC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Teletrabajo desde el extranjero</w:t>
            </w:r>
          </w:p>
        </w:tc>
        <w:tc>
          <w:tcPr>
            <w:tcW w:w="9935" w:type="dxa"/>
            <w:vAlign w:val="center"/>
            <w:hideMark/>
          </w:tcPr>
          <w:p w14:paraId="1821B31E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un proyecto de ley dirigido a regular expresamente el teletrabajo fuera del territorio nacional y las implicaciones jurídicas de esa modalidad.</w:t>
            </w:r>
          </w:p>
        </w:tc>
        <w:tc>
          <w:tcPr>
            <w:tcW w:w="5262" w:type="dxa"/>
            <w:vAlign w:val="center"/>
            <w:hideMark/>
          </w:tcPr>
          <w:p w14:paraId="5FE14EA7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teletrabajo; extranjero; empleo público</w:t>
            </w:r>
          </w:p>
        </w:tc>
      </w:tr>
      <w:tr w:rsidR="001151AC" w:rsidRPr="007A793F" w14:paraId="601F2F91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D2F5410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AL-1155-2023</w:t>
            </w:r>
          </w:p>
        </w:tc>
        <w:tc>
          <w:tcPr>
            <w:tcW w:w="2579" w:type="dxa"/>
            <w:vAlign w:val="center"/>
            <w:hideMark/>
          </w:tcPr>
          <w:p w14:paraId="37B2CC4F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Funcionarios de confianza</w:t>
            </w:r>
          </w:p>
        </w:tc>
        <w:tc>
          <w:tcPr>
            <w:tcW w:w="9935" w:type="dxa"/>
            <w:vAlign w:val="center"/>
            <w:hideMark/>
          </w:tcPr>
          <w:p w14:paraId="6154CE7C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el régimen jurídico aplicable a puestos de confianza, su naturaleza y las diferencias respecto de puestos ordinarios sujetos al régimen de empleo público.</w:t>
            </w:r>
          </w:p>
        </w:tc>
        <w:tc>
          <w:tcPr>
            <w:tcW w:w="5262" w:type="dxa"/>
            <w:vAlign w:val="center"/>
            <w:hideMark/>
          </w:tcPr>
          <w:p w14:paraId="0D825872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confianza; empleo público; nombramiento</w:t>
            </w:r>
          </w:p>
        </w:tc>
      </w:tr>
      <w:tr w:rsidR="001151AC" w:rsidRPr="007A793F" w14:paraId="59BC178B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2770B0F5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AL-1156-2023</w:t>
            </w:r>
          </w:p>
        </w:tc>
        <w:tc>
          <w:tcPr>
            <w:tcW w:w="2579" w:type="dxa"/>
            <w:vAlign w:val="center"/>
            <w:hideMark/>
          </w:tcPr>
          <w:p w14:paraId="4F18A5BD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Construcciones en la ZMT</w:t>
            </w:r>
          </w:p>
        </w:tc>
        <w:tc>
          <w:tcPr>
            <w:tcW w:w="9935" w:type="dxa"/>
            <w:vAlign w:val="center"/>
            <w:hideMark/>
          </w:tcPr>
          <w:p w14:paraId="7F9B1AB9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Desarrolla los límites legales para realizar obras o construcciones dentro de la ZMT, considerando planificación, concesión y competencias institucionales.</w:t>
            </w:r>
          </w:p>
        </w:tc>
        <w:tc>
          <w:tcPr>
            <w:tcW w:w="5262" w:type="dxa"/>
            <w:vAlign w:val="center"/>
            <w:hideMark/>
          </w:tcPr>
          <w:p w14:paraId="7C5D2DF4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construcciones; ZMT; planificación</w:t>
            </w:r>
          </w:p>
        </w:tc>
      </w:tr>
      <w:tr w:rsidR="001151AC" w:rsidRPr="007A793F" w14:paraId="33DC3A3D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FE00D4F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AL-1157-2023</w:t>
            </w:r>
          </w:p>
        </w:tc>
        <w:tc>
          <w:tcPr>
            <w:tcW w:w="2579" w:type="dxa"/>
            <w:vAlign w:val="center"/>
            <w:hideMark/>
          </w:tcPr>
          <w:p w14:paraId="3D5E4B9A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Nacionalidad de concesionarios</w:t>
            </w:r>
          </w:p>
        </w:tc>
        <w:tc>
          <w:tcPr>
            <w:tcW w:w="9935" w:type="dxa"/>
            <w:vAlign w:val="center"/>
            <w:hideMark/>
          </w:tcPr>
          <w:p w14:paraId="6587352D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Examina las restricciones de nacionalidad y composición del capital social aplicables a personas jurídicas concesionarias.</w:t>
            </w:r>
          </w:p>
        </w:tc>
        <w:tc>
          <w:tcPr>
            <w:tcW w:w="5262" w:type="dxa"/>
            <w:vAlign w:val="center"/>
            <w:hideMark/>
          </w:tcPr>
          <w:p w14:paraId="0F0FDE36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nacionalidad; extranjeros; capital social</w:t>
            </w:r>
          </w:p>
        </w:tc>
      </w:tr>
      <w:tr w:rsidR="001151AC" w:rsidRPr="007A793F" w14:paraId="3D6664F7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22B2F720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AL-1219-2023</w:t>
            </w:r>
          </w:p>
        </w:tc>
        <w:tc>
          <w:tcPr>
            <w:tcW w:w="2579" w:type="dxa"/>
            <w:vAlign w:val="center"/>
            <w:hideMark/>
          </w:tcPr>
          <w:p w14:paraId="33EAC92D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Personal calificado en turismo de aventura</w:t>
            </w:r>
          </w:p>
        </w:tc>
        <w:tc>
          <w:tcPr>
            <w:tcW w:w="9935" w:type="dxa"/>
            <w:vAlign w:val="center"/>
            <w:hideMark/>
          </w:tcPr>
          <w:p w14:paraId="51348848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 validez de certificados de experiencia debe analizarse conforme al Reglamento de Turismo de Aventura; el cese de la relación laboral no invalida por sí mismo la experiencia previamente acreditada.</w:t>
            </w:r>
          </w:p>
        </w:tc>
        <w:tc>
          <w:tcPr>
            <w:tcW w:w="5262" w:type="dxa"/>
            <w:vAlign w:val="center"/>
            <w:hideMark/>
          </w:tcPr>
          <w:p w14:paraId="675D1030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turismo aventura; experiencia; certificado; RCP</w:t>
            </w:r>
          </w:p>
        </w:tc>
      </w:tr>
      <w:tr w:rsidR="001151AC" w:rsidRPr="007A793F" w14:paraId="030B12F8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C3C3B03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AL-1241-2023</w:t>
            </w:r>
          </w:p>
        </w:tc>
        <w:tc>
          <w:tcPr>
            <w:tcW w:w="2579" w:type="dxa"/>
            <w:vAlign w:val="center"/>
            <w:hideMark/>
          </w:tcPr>
          <w:p w14:paraId="0E4660BC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Transmisión de sesiones</w:t>
            </w:r>
          </w:p>
        </w:tc>
        <w:tc>
          <w:tcPr>
            <w:tcW w:w="9935" w:type="dxa"/>
            <w:vAlign w:val="center"/>
            <w:hideMark/>
          </w:tcPr>
          <w:p w14:paraId="3CF9BD00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 no transmisión en vivo de sesiones de órganos colegiados no infringe por sí misma el ordenamiento y puede justificarse por razones de funcionamiento institucional y protección de información estratégica.</w:t>
            </w:r>
          </w:p>
        </w:tc>
        <w:tc>
          <w:tcPr>
            <w:tcW w:w="5262" w:type="dxa"/>
            <w:vAlign w:val="center"/>
            <w:hideMark/>
          </w:tcPr>
          <w:p w14:paraId="53D48563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sesiones; Junta Directiva; publicidad; transmisión</w:t>
            </w:r>
          </w:p>
        </w:tc>
      </w:tr>
      <w:tr w:rsidR="001151AC" w:rsidRPr="007A793F" w14:paraId="20224E1B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5AE368B1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lastRenderedPageBreak/>
              <w:t>AL-1247-2023</w:t>
            </w:r>
          </w:p>
        </w:tc>
        <w:tc>
          <w:tcPr>
            <w:tcW w:w="2579" w:type="dxa"/>
            <w:vAlign w:val="center"/>
            <w:hideMark/>
          </w:tcPr>
          <w:p w14:paraId="2BE5F3DF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Patente de cierre indefinido</w:t>
            </w:r>
          </w:p>
        </w:tc>
        <w:tc>
          <w:tcPr>
            <w:tcW w:w="9935" w:type="dxa"/>
            <w:vAlign w:val="center"/>
            <w:hideMark/>
          </w:tcPr>
          <w:p w14:paraId="2FC97CCB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El ICT carece de competencia para pronunciarse sobre la vigencia de una patente municipal de un establecimiento que no cuenta con Declaratoria Turística.</w:t>
            </w:r>
          </w:p>
        </w:tc>
        <w:tc>
          <w:tcPr>
            <w:tcW w:w="5262" w:type="dxa"/>
            <w:vAlign w:val="center"/>
            <w:hideMark/>
          </w:tcPr>
          <w:p w14:paraId="5FC535DC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patente; bar; municipalidad; declaratoria</w:t>
            </w:r>
          </w:p>
        </w:tc>
      </w:tr>
      <w:tr w:rsidR="001151AC" w:rsidRPr="007A793F" w14:paraId="5E2CB317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5F1B1881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AL-1400-2023</w:t>
            </w:r>
          </w:p>
        </w:tc>
        <w:tc>
          <w:tcPr>
            <w:tcW w:w="2579" w:type="dxa"/>
            <w:vAlign w:val="center"/>
            <w:hideMark/>
          </w:tcPr>
          <w:p w14:paraId="5519F17D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Adendas a contratos de concesión</w:t>
            </w:r>
          </w:p>
        </w:tc>
        <w:tc>
          <w:tcPr>
            <w:tcW w:w="9935" w:type="dxa"/>
            <w:vAlign w:val="center"/>
            <w:hideMark/>
          </w:tcPr>
          <w:p w14:paraId="5F5226BE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Solo requieren aprobación del ICT las adendas que afecten, limiten, modifiquen o extingan derechos derivados de la concesión; los errores puramente materiales pueden ser corregidos por la municipalidad.</w:t>
            </w:r>
          </w:p>
        </w:tc>
        <w:tc>
          <w:tcPr>
            <w:tcW w:w="5262" w:type="dxa"/>
            <w:vAlign w:val="center"/>
            <w:hideMark/>
          </w:tcPr>
          <w:p w14:paraId="6DA53B29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adenda; contrato; error material; ZMT</w:t>
            </w:r>
          </w:p>
        </w:tc>
      </w:tr>
      <w:tr w:rsidR="001151AC" w:rsidRPr="007A793F" w14:paraId="78036088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73DF5F08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AL-A-1774-2023</w:t>
            </w:r>
          </w:p>
        </w:tc>
        <w:tc>
          <w:tcPr>
            <w:tcW w:w="2579" w:type="dxa"/>
            <w:vAlign w:val="center"/>
            <w:hideMark/>
          </w:tcPr>
          <w:p w14:paraId="4C5C23DB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Construcciones y patentes sin plan regulador</w:t>
            </w:r>
          </w:p>
        </w:tc>
        <w:tc>
          <w:tcPr>
            <w:tcW w:w="9935" w:type="dxa"/>
            <w:vAlign w:val="center"/>
            <w:hideMark/>
          </w:tcPr>
          <w:p w14:paraId="05D86B9E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 utilización y desarrollo de la ZMT requieren respeto a su régimen demanial y a la planificación territorial; la ausencia de plan regulador limita autorizaciones de desarrollo.</w:t>
            </w:r>
          </w:p>
        </w:tc>
        <w:tc>
          <w:tcPr>
            <w:tcW w:w="5262" w:type="dxa"/>
            <w:vAlign w:val="center"/>
            <w:hideMark/>
          </w:tcPr>
          <w:p w14:paraId="5AA544D1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plan regulador; patente; construcción</w:t>
            </w:r>
          </w:p>
        </w:tc>
      </w:tr>
      <w:tr w:rsidR="001151AC" w:rsidRPr="007A793F" w14:paraId="64D2C250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349B285C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AL-A-1777-2023</w:t>
            </w:r>
          </w:p>
        </w:tc>
        <w:tc>
          <w:tcPr>
            <w:tcW w:w="2579" w:type="dxa"/>
            <w:vAlign w:val="center"/>
            <w:hideMark/>
          </w:tcPr>
          <w:p w14:paraId="17E396F3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Revalorización de anualidades</w:t>
            </w:r>
          </w:p>
        </w:tc>
        <w:tc>
          <w:tcPr>
            <w:tcW w:w="9935" w:type="dxa"/>
            <w:vAlign w:val="center"/>
            <w:hideMark/>
          </w:tcPr>
          <w:p w14:paraId="1122A319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El reconocimiento salarial debe sustentarse en nombramiento formal y normativa aplicable, no únicamente en el desempeño material de funciones.</w:t>
            </w:r>
          </w:p>
        </w:tc>
        <w:tc>
          <w:tcPr>
            <w:tcW w:w="5262" w:type="dxa"/>
            <w:vAlign w:val="center"/>
            <w:hideMark/>
          </w:tcPr>
          <w:p w14:paraId="78D7C01C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anualidades; salario; legalidad</w:t>
            </w:r>
          </w:p>
        </w:tc>
      </w:tr>
      <w:tr w:rsidR="001151AC" w:rsidRPr="007A793F" w14:paraId="7C02DF42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0475704D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AL-A-1842-2023</w:t>
            </w:r>
          </w:p>
        </w:tc>
        <w:tc>
          <w:tcPr>
            <w:tcW w:w="2579" w:type="dxa"/>
            <w:vAlign w:val="center"/>
            <w:hideMark/>
          </w:tcPr>
          <w:p w14:paraId="4F43ED6F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Dedicación exclusiva y salario global</w:t>
            </w:r>
          </w:p>
        </w:tc>
        <w:tc>
          <w:tcPr>
            <w:tcW w:w="9935" w:type="dxa"/>
            <w:vAlign w:val="center"/>
            <w:hideMark/>
          </w:tcPr>
          <w:p w14:paraId="7BF88D11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 modificación o renuncia a la dedicación exclusiva puede producir efectos sobre el esquema salarial cuando concurren las condiciones legales para migrar al salario global.</w:t>
            </w:r>
          </w:p>
        </w:tc>
        <w:tc>
          <w:tcPr>
            <w:tcW w:w="5262" w:type="dxa"/>
            <w:vAlign w:val="center"/>
            <w:hideMark/>
          </w:tcPr>
          <w:p w14:paraId="0948CBE7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salario global; dedicación exclusiva</w:t>
            </w:r>
          </w:p>
        </w:tc>
      </w:tr>
    </w:tbl>
    <w:p w14:paraId="7D9DB36D" w14:textId="77777777" w:rsidR="007A793F" w:rsidRDefault="007A793F" w:rsidP="00536FD6">
      <w:pPr>
        <w:spacing w:before="120" w:after="120" w:line="240" w:lineRule="auto"/>
        <w:rPr>
          <w:sz w:val="20"/>
          <w:szCs w:val="20"/>
        </w:rPr>
      </w:pPr>
    </w:p>
    <w:p w14:paraId="6A7E2C51" w14:textId="3A025CC9" w:rsidR="007A793F" w:rsidRPr="00536FD6" w:rsidRDefault="007A793F" w:rsidP="00536FD6">
      <w:pPr>
        <w:spacing w:before="120" w:after="120" w:line="240" w:lineRule="auto"/>
        <w:jc w:val="center"/>
        <w:rPr>
          <w:b/>
          <w:bCs/>
          <w:sz w:val="52"/>
          <w:szCs w:val="52"/>
        </w:rPr>
      </w:pPr>
      <w:r w:rsidRPr="00536FD6">
        <w:rPr>
          <w:b/>
          <w:bCs/>
          <w:sz w:val="52"/>
          <w:szCs w:val="52"/>
        </w:rPr>
        <w:t>2024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1656"/>
        <w:gridCol w:w="2519"/>
        <w:gridCol w:w="9995"/>
        <w:gridCol w:w="5262"/>
      </w:tblGrid>
      <w:tr w:rsidR="001151AC" w:rsidRPr="007A793F" w14:paraId="510866DE" w14:textId="77777777" w:rsidTr="001151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288D2733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N° de criterio</w:t>
            </w:r>
          </w:p>
        </w:tc>
        <w:tc>
          <w:tcPr>
            <w:tcW w:w="2519" w:type="dxa"/>
            <w:vAlign w:val="center"/>
            <w:hideMark/>
          </w:tcPr>
          <w:p w14:paraId="1F052DAC" w14:textId="77777777" w:rsidR="001151AC" w:rsidRPr="007A793F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Tema principal</w:t>
            </w:r>
          </w:p>
        </w:tc>
        <w:tc>
          <w:tcPr>
            <w:tcW w:w="9995" w:type="dxa"/>
            <w:vAlign w:val="center"/>
            <w:hideMark/>
          </w:tcPr>
          <w:p w14:paraId="24B5DD74" w14:textId="77777777" w:rsidR="001151AC" w:rsidRPr="007A793F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Resumen ejecutivo</w:t>
            </w:r>
          </w:p>
        </w:tc>
        <w:tc>
          <w:tcPr>
            <w:tcW w:w="5262" w:type="dxa"/>
            <w:vAlign w:val="center"/>
            <w:hideMark/>
          </w:tcPr>
          <w:p w14:paraId="6FFD66EE" w14:textId="77777777" w:rsidR="001151AC" w:rsidRPr="007A793F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Palabras clave</w:t>
            </w:r>
          </w:p>
        </w:tc>
      </w:tr>
      <w:tr w:rsidR="001151AC" w:rsidRPr="007A793F" w14:paraId="47F3F747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4A5F2B10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AL-A-0024-2024</w:t>
            </w:r>
          </w:p>
        </w:tc>
        <w:tc>
          <w:tcPr>
            <w:tcW w:w="2519" w:type="dxa"/>
            <w:vAlign w:val="center"/>
            <w:hideMark/>
          </w:tcPr>
          <w:p w14:paraId="716FE818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Aeroparques turísticos</w:t>
            </w:r>
          </w:p>
        </w:tc>
        <w:tc>
          <w:tcPr>
            <w:tcW w:w="9995" w:type="dxa"/>
            <w:vAlign w:val="center"/>
            <w:hideMark/>
          </w:tcPr>
          <w:p w14:paraId="6D27CE30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Advierte la necesidad de delimitar competencias del ICT, CETAC y DGAC y distinguir entre Declaratoria Turística y declaratoria de interés turístico.</w:t>
            </w:r>
          </w:p>
        </w:tc>
        <w:tc>
          <w:tcPr>
            <w:tcW w:w="5262" w:type="dxa"/>
            <w:vAlign w:val="center"/>
            <w:hideMark/>
          </w:tcPr>
          <w:p w14:paraId="2B1DEFD0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aeroparques; aviación; proyecto de ley</w:t>
            </w:r>
          </w:p>
        </w:tc>
      </w:tr>
      <w:tr w:rsidR="001151AC" w:rsidRPr="007A793F" w14:paraId="3DF4051C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75624B36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AL-A-0026-2024</w:t>
            </w:r>
          </w:p>
        </w:tc>
        <w:tc>
          <w:tcPr>
            <w:tcW w:w="2519" w:type="dxa"/>
            <w:vAlign w:val="center"/>
            <w:hideMark/>
          </w:tcPr>
          <w:p w14:paraId="42D7331B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Fideicomisos de garantía</w:t>
            </w:r>
          </w:p>
        </w:tc>
        <w:tc>
          <w:tcPr>
            <w:tcW w:w="9995" w:type="dxa"/>
            <w:vAlign w:val="center"/>
            <w:hideMark/>
          </w:tcPr>
          <w:p w14:paraId="54D058CA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El incumplimiento de un procedimiento interno de aprobación de fideicomisos no autoriza por sí mismo sanciones que no estén tipificadas en la Ley N° 6990.</w:t>
            </w:r>
          </w:p>
        </w:tc>
        <w:tc>
          <w:tcPr>
            <w:tcW w:w="5262" w:type="dxa"/>
            <w:vAlign w:val="center"/>
            <w:hideMark/>
          </w:tcPr>
          <w:p w14:paraId="57EB303F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fideicomiso; exoneración; sanción; tipicidad</w:t>
            </w:r>
          </w:p>
        </w:tc>
      </w:tr>
      <w:tr w:rsidR="001151AC" w:rsidRPr="007A793F" w14:paraId="140B5AA8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5574DB83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AL-A-0107-2024</w:t>
            </w:r>
          </w:p>
        </w:tc>
        <w:tc>
          <w:tcPr>
            <w:tcW w:w="2519" w:type="dxa"/>
            <w:vAlign w:val="center"/>
            <w:hideMark/>
          </w:tcPr>
          <w:p w14:paraId="0C7E056B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Experiencia profesional privada</w:t>
            </w:r>
          </w:p>
        </w:tc>
        <w:tc>
          <w:tcPr>
            <w:tcW w:w="9995" w:type="dxa"/>
            <w:vAlign w:val="center"/>
            <w:hideMark/>
          </w:tcPr>
          <w:p w14:paraId="59A2A0AD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Puede reconocerse experiencia profesional del sector privado anterior a la incorporación colegial cuando esta no era exigible para ejercer las funciones y exista prueba suficiente.</w:t>
            </w:r>
          </w:p>
        </w:tc>
        <w:tc>
          <w:tcPr>
            <w:tcW w:w="5262" w:type="dxa"/>
            <w:vAlign w:val="center"/>
            <w:hideMark/>
          </w:tcPr>
          <w:p w14:paraId="4EFAFFA3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experiencia; colegio profesional; concurso</w:t>
            </w:r>
          </w:p>
        </w:tc>
      </w:tr>
      <w:tr w:rsidR="001151AC" w:rsidRPr="007A793F" w14:paraId="7A1552DE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2A19090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AL-A-0173-2024</w:t>
            </w:r>
          </w:p>
        </w:tc>
        <w:tc>
          <w:tcPr>
            <w:tcW w:w="2519" w:type="dxa"/>
            <w:vAlign w:val="center"/>
            <w:hideMark/>
          </w:tcPr>
          <w:p w14:paraId="65B1CDC9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Hospedaje no tradicional</w:t>
            </w:r>
          </w:p>
        </w:tc>
        <w:tc>
          <w:tcPr>
            <w:tcW w:w="9995" w:type="dxa"/>
            <w:vAlign w:val="center"/>
            <w:hideMark/>
          </w:tcPr>
          <w:p w14:paraId="713082DD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 Ley N° 9742 constituye el régimen especial aplicable al hospedaje no tradicional y determina los registros y procedimientos que debe administrar el ICT.</w:t>
            </w:r>
          </w:p>
        </w:tc>
        <w:tc>
          <w:tcPr>
            <w:tcW w:w="5262" w:type="dxa"/>
            <w:vAlign w:val="center"/>
            <w:hideMark/>
          </w:tcPr>
          <w:p w14:paraId="6D19593C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hospedaje; plataformas; registro</w:t>
            </w:r>
          </w:p>
        </w:tc>
      </w:tr>
      <w:tr w:rsidR="001151AC" w:rsidRPr="007A793F" w14:paraId="57B45085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F1909D6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lastRenderedPageBreak/>
              <w:t>AL-A-0215-2024</w:t>
            </w:r>
          </w:p>
        </w:tc>
        <w:tc>
          <w:tcPr>
            <w:tcW w:w="2519" w:type="dxa"/>
            <w:vAlign w:val="center"/>
            <w:hideMark/>
          </w:tcPr>
          <w:p w14:paraId="3C6B1D73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Terrenos del PTGP fuera de coordenadas</w:t>
            </w:r>
          </w:p>
        </w:tc>
        <w:tc>
          <w:tcPr>
            <w:tcW w:w="9995" w:type="dxa"/>
            <w:vAlign w:val="center"/>
            <w:hideMark/>
          </w:tcPr>
          <w:p w14:paraId="74558B6F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Recomienda elevar consulta a la PGR para determinar el régimen jurídico de terrenos adquiridos por el ICT que quedaron fuera de las coordenadas legales del PTGP.</w:t>
            </w:r>
          </w:p>
        </w:tc>
        <w:tc>
          <w:tcPr>
            <w:tcW w:w="5262" w:type="dxa"/>
            <w:vAlign w:val="center"/>
            <w:hideMark/>
          </w:tcPr>
          <w:p w14:paraId="10D3062E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Papagayo; coordenadas; dominio público</w:t>
            </w:r>
          </w:p>
        </w:tc>
      </w:tr>
      <w:tr w:rsidR="001151AC" w:rsidRPr="007A793F" w14:paraId="79D42D9B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3B81D502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AL-A-0250-2023</w:t>
            </w:r>
          </w:p>
        </w:tc>
        <w:tc>
          <w:tcPr>
            <w:tcW w:w="2519" w:type="dxa"/>
            <w:vAlign w:val="center"/>
            <w:hideMark/>
          </w:tcPr>
          <w:p w14:paraId="61A76CDF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Condominio y bienes exonerados</w:t>
            </w:r>
          </w:p>
        </w:tc>
        <w:tc>
          <w:tcPr>
            <w:tcW w:w="9995" w:type="dxa"/>
            <w:vAlign w:val="center"/>
            <w:hideMark/>
          </w:tcPr>
          <w:p w14:paraId="6F088BF0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 constitución del condominio maestro no implica por sí misma cambio de uso; el eventual uso residencial exige previamente atender consecuencias tributarias y obtener las aprobaciones correspondientes.</w:t>
            </w:r>
          </w:p>
        </w:tc>
        <w:tc>
          <w:tcPr>
            <w:tcW w:w="5262" w:type="dxa"/>
            <w:vAlign w:val="center"/>
            <w:hideMark/>
          </w:tcPr>
          <w:p w14:paraId="35ED69BA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condominio; exoneraciones; Papagayo</w:t>
            </w:r>
          </w:p>
        </w:tc>
      </w:tr>
      <w:tr w:rsidR="001151AC" w:rsidRPr="007A793F" w14:paraId="69D815F8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5BE68D37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AL-A-0487-2024</w:t>
            </w:r>
          </w:p>
        </w:tc>
        <w:tc>
          <w:tcPr>
            <w:tcW w:w="2519" w:type="dxa"/>
            <w:vAlign w:val="center"/>
            <w:hideMark/>
          </w:tcPr>
          <w:p w14:paraId="276B36C9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Primero en tiempo</w:t>
            </w:r>
          </w:p>
        </w:tc>
        <w:tc>
          <w:tcPr>
            <w:tcW w:w="9995" w:type="dxa"/>
            <w:vAlign w:val="center"/>
            <w:hideMark/>
          </w:tcPr>
          <w:p w14:paraId="57218E04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Sistematiza la aplicación del principio primero en tiempo, primero en derecho frente a solicitudes concurrentes de concesión.</w:t>
            </w:r>
          </w:p>
        </w:tc>
        <w:tc>
          <w:tcPr>
            <w:tcW w:w="5262" w:type="dxa"/>
            <w:vAlign w:val="center"/>
            <w:hideMark/>
          </w:tcPr>
          <w:p w14:paraId="3D5216DB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primero en tiempo; concesión; prioridad</w:t>
            </w:r>
          </w:p>
        </w:tc>
      </w:tr>
      <w:tr w:rsidR="001151AC" w:rsidRPr="007A793F" w14:paraId="1D21AC13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21CFB6C5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AL-A-0521-2024</w:t>
            </w:r>
          </w:p>
        </w:tc>
        <w:tc>
          <w:tcPr>
            <w:tcW w:w="2519" w:type="dxa"/>
            <w:vAlign w:val="center"/>
            <w:hideMark/>
          </w:tcPr>
          <w:p w14:paraId="6D68F180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Uso de zona pública</w:t>
            </w:r>
          </w:p>
        </w:tc>
        <w:tc>
          <w:tcPr>
            <w:tcW w:w="9995" w:type="dxa"/>
            <w:vAlign w:val="center"/>
            <w:hideMark/>
          </w:tcPr>
          <w:p w14:paraId="6E05BC86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 regulación municipal de permisos en zona pública debe respetar el carácter demanial, el libre tránsito y los límites de la Ley N° 6043.</w:t>
            </w:r>
          </w:p>
        </w:tc>
        <w:tc>
          <w:tcPr>
            <w:tcW w:w="5262" w:type="dxa"/>
            <w:vAlign w:val="center"/>
            <w:hideMark/>
          </w:tcPr>
          <w:p w14:paraId="6D1E58CA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zona pública; permiso; tránsito</w:t>
            </w:r>
          </w:p>
        </w:tc>
      </w:tr>
      <w:tr w:rsidR="001151AC" w:rsidRPr="007A793F" w14:paraId="55A88C4B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2FD323E1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AL-A-0535-2024</w:t>
            </w:r>
          </w:p>
        </w:tc>
        <w:tc>
          <w:tcPr>
            <w:tcW w:w="2519" w:type="dxa"/>
            <w:vAlign w:val="center"/>
            <w:hideMark/>
          </w:tcPr>
          <w:p w14:paraId="6C068BE8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Retribución por capacitación</w:t>
            </w:r>
          </w:p>
        </w:tc>
        <w:tc>
          <w:tcPr>
            <w:tcW w:w="9995" w:type="dxa"/>
            <w:vAlign w:val="center"/>
            <w:hideMark/>
          </w:tcPr>
          <w:p w14:paraId="523227E9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 renuncia durante el período de retribución puede generar obligación de reintegro proporcional conforme al Reglamento de Capacitación.</w:t>
            </w:r>
          </w:p>
        </w:tc>
        <w:tc>
          <w:tcPr>
            <w:tcW w:w="5262" w:type="dxa"/>
            <w:vAlign w:val="center"/>
            <w:hideMark/>
          </w:tcPr>
          <w:p w14:paraId="6931ED62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capacitación; reintegro; renuncia</w:t>
            </w:r>
          </w:p>
        </w:tc>
      </w:tr>
      <w:tr w:rsidR="001151AC" w:rsidRPr="007A793F" w14:paraId="48FB86E9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3E1B0358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AL-A-0574-2024</w:t>
            </w:r>
          </w:p>
        </w:tc>
        <w:tc>
          <w:tcPr>
            <w:tcW w:w="2519" w:type="dxa"/>
            <w:vAlign w:val="center"/>
            <w:hideMark/>
          </w:tcPr>
          <w:p w14:paraId="438E696C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Fraccionamiento de garantías</w:t>
            </w:r>
          </w:p>
        </w:tc>
        <w:tc>
          <w:tcPr>
            <w:tcW w:w="9995" w:type="dxa"/>
            <w:vAlign w:val="center"/>
            <w:hideMark/>
          </w:tcPr>
          <w:p w14:paraId="496F2708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si la garantía de ejecución en ZMT puede fraccionarse conforme a las etapas del proyecto, partiendo de que legalmente garantiza la ejecución del proyecto comprometido.</w:t>
            </w:r>
          </w:p>
        </w:tc>
        <w:tc>
          <w:tcPr>
            <w:tcW w:w="5262" w:type="dxa"/>
            <w:vAlign w:val="center"/>
            <w:hideMark/>
          </w:tcPr>
          <w:p w14:paraId="48392CBB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garantía; etapas; ZMT</w:t>
            </w:r>
          </w:p>
        </w:tc>
      </w:tr>
      <w:tr w:rsidR="001151AC" w:rsidRPr="007A793F" w14:paraId="0F668B0E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74737C85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AL-A-0634-2024</w:t>
            </w:r>
          </w:p>
        </w:tc>
        <w:tc>
          <w:tcPr>
            <w:tcW w:w="2519" w:type="dxa"/>
            <w:vAlign w:val="center"/>
            <w:hideMark/>
          </w:tcPr>
          <w:p w14:paraId="0F5E6996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Ética e integridad</w:t>
            </w:r>
          </w:p>
        </w:tc>
        <w:tc>
          <w:tcPr>
            <w:tcW w:w="9995" w:type="dxa"/>
            <w:vAlign w:val="center"/>
            <w:hideMark/>
          </w:tcPr>
          <w:p w14:paraId="34055332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Examina la adecuación de la normativa interna del ICT a las obligaciones de integridad pública, prevención de corrupción y conflicto de intereses.</w:t>
            </w:r>
          </w:p>
        </w:tc>
        <w:tc>
          <w:tcPr>
            <w:tcW w:w="5262" w:type="dxa"/>
            <w:vAlign w:val="center"/>
            <w:hideMark/>
          </w:tcPr>
          <w:p w14:paraId="4B556561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ética; integridad; conflicto de intereses</w:t>
            </w:r>
          </w:p>
        </w:tc>
      </w:tr>
      <w:tr w:rsidR="001151AC" w:rsidRPr="007A793F" w14:paraId="480E9CF1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6BF15945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AL-A-0650-2024</w:t>
            </w:r>
          </w:p>
        </w:tc>
        <w:tc>
          <w:tcPr>
            <w:tcW w:w="2519" w:type="dxa"/>
            <w:vAlign w:val="center"/>
            <w:hideMark/>
          </w:tcPr>
          <w:p w14:paraId="3FD7E301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Derecho de superficie</w:t>
            </w:r>
          </w:p>
        </w:tc>
        <w:tc>
          <w:tcPr>
            <w:tcW w:w="9995" w:type="dxa"/>
            <w:vAlign w:val="center"/>
            <w:hideMark/>
          </w:tcPr>
          <w:p w14:paraId="582C6A63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la posibilidad de otorgar Declaratoria y Contrato Turístico a un proyecto hotelero desarrollado bajo un derecho de superficie.</w:t>
            </w:r>
          </w:p>
        </w:tc>
        <w:tc>
          <w:tcPr>
            <w:tcW w:w="5262" w:type="dxa"/>
            <w:vAlign w:val="center"/>
            <w:hideMark/>
          </w:tcPr>
          <w:p w14:paraId="3AFA4DAE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superficie; hotel; contrato turístico</w:t>
            </w:r>
          </w:p>
        </w:tc>
      </w:tr>
      <w:tr w:rsidR="001151AC" w:rsidRPr="007A793F" w14:paraId="44ABEAEB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73A7B00D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AL-A-0664-2024</w:t>
            </w:r>
          </w:p>
        </w:tc>
        <w:tc>
          <w:tcPr>
            <w:tcW w:w="2519" w:type="dxa"/>
            <w:vAlign w:val="center"/>
            <w:hideMark/>
          </w:tcPr>
          <w:p w14:paraId="102C91FD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Cancelación de Declaratoria Turística</w:t>
            </w:r>
          </w:p>
        </w:tc>
        <w:tc>
          <w:tcPr>
            <w:tcW w:w="9995" w:type="dxa"/>
            <w:vAlign w:val="center"/>
            <w:hideMark/>
          </w:tcPr>
          <w:p w14:paraId="18E95EB2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Examina la cancelación de una Declaratoria por incumplimiento de condiciones y la procedencia de recursos contra esa decisión.</w:t>
            </w:r>
          </w:p>
        </w:tc>
        <w:tc>
          <w:tcPr>
            <w:tcW w:w="5262" w:type="dxa"/>
            <w:vAlign w:val="center"/>
            <w:hideMark/>
          </w:tcPr>
          <w:p w14:paraId="4BE29D98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declaratoria; cancelación; recurso</w:t>
            </w:r>
          </w:p>
        </w:tc>
      </w:tr>
      <w:tr w:rsidR="001151AC" w:rsidRPr="007A793F" w14:paraId="75AB14ED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26009C6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AL-A-0767-2024</w:t>
            </w:r>
          </w:p>
        </w:tc>
        <w:tc>
          <w:tcPr>
            <w:tcW w:w="2519" w:type="dxa"/>
            <w:vAlign w:val="center"/>
            <w:hideMark/>
          </w:tcPr>
          <w:p w14:paraId="4E14620C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Cesión de capital social</w:t>
            </w:r>
          </w:p>
        </w:tc>
        <w:tc>
          <w:tcPr>
            <w:tcW w:w="9995" w:type="dxa"/>
            <w:vAlign w:val="center"/>
            <w:hideMark/>
          </w:tcPr>
          <w:p w14:paraId="7F02521A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 transferencia de acciones no constituye por sí misma cesión de la concesión, pero debe informarse para verificar el cumplimiento de las restricciones del artículo 47.</w:t>
            </w:r>
          </w:p>
        </w:tc>
        <w:tc>
          <w:tcPr>
            <w:tcW w:w="5262" w:type="dxa"/>
            <w:vAlign w:val="center"/>
            <w:hideMark/>
          </w:tcPr>
          <w:p w14:paraId="1714B74B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acciones; capital social; concesión</w:t>
            </w:r>
          </w:p>
        </w:tc>
      </w:tr>
      <w:tr w:rsidR="001151AC" w:rsidRPr="007A793F" w14:paraId="247B4A01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3F4EB86A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AL-A-0845-2024</w:t>
            </w:r>
          </w:p>
        </w:tc>
        <w:tc>
          <w:tcPr>
            <w:tcW w:w="2519" w:type="dxa"/>
            <w:vAlign w:val="center"/>
            <w:hideMark/>
          </w:tcPr>
          <w:p w14:paraId="54B6D961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Competencias y procedimiento en ZMT</w:t>
            </w:r>
          </w:p>
        </w:tc>
        <w:tc>
          <w:tcPr>
            <w:tcW w:w="9995" w:type="dxa"/>
            <w:vAlign w:val="center"/>
            <w:hideMark/>
          </w:tcPr>
          <w:p w14:paraId="05BE4C03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Sistematiza las competencias del ICT, municipalidades y otras entidades en el procedimiento de otorgamiento y modificación de concesiones.</w:t>
            </w:r>
          </w:p>
        </w:tc>
        <w:tc>
          <w:tcPr>
            <w:tcW w:w="5262" w:type="dxa"/>
            <w:vAlign w:val="center"/>
            <w:hideMark/>
          </w:tcPr>
          <w:p w14:paraId="7076C689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competencias; procedimiento; ZMT</w:t>
            </w:r>
          </w:p>
        </w:tc>
      </w:tr>
      <w:tr w:rsidR="001151AC" w:rsidRPr="007A793F" w14:paraId="652D6F98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28D2CB0D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lastRenderedPageBreak/>
              <w:t>AL-A-0864-2024</w:t>
            </w:r>
          </w:p>
        </w:tc>
        <w:tc>
          <w:tcPr>
            <w:tcW w:w="2519" w:type="dxa"/>
            <w:vAlign w:val="center"/>
            <w:hideMark/>
          </w:tcPr>
          <w:p w14:paraId="4236BB7D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Planificación de marinas y atracaderos</w:t>
            </w:r>
          </w:p>
        </w:tc>
        <w:tc>
          <w:tcPr>
            <w:tcW w:w="9995" w:type="dxa"/>
            <w:vAlign w:val="center"/>
            <w:hideMark/>
          </w:tcPr>
          <w:p w14:paraId="48C377F6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la posibilidad de utilizar instrumentos distintos del plan regulador costero en lugares donde resulte materialmente imposible contar con uno.</w:t>
            </w:r>
          </w:p>
        </w:tc>
        <w:tc>
          <w:tcPr>
            <w:tcW w:w="5262" w:type="dxa"/>
            <w:vAlign w:val="center"/>
            <w:hideMark/>
          </w:tcPr>
          <w:p w14:paraId="0DDDF222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CIMAT; marina; planificación</w:t>
            </w:r>
          </w:p>
        </w:tc>
      </w:tr>
      <w:tr w:rsidR="001151AC" w:rsidRPr="007A793F" w14:paraId="747B23F2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B1F0E6F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AL-A-0886-2024</w:t>
            </w:r>
          </w:p>
        </w:tc>
        <w:tc>
          <w:tcPr>
            <w:tcW w:w="2519" w:type="dxa"/>
            <w:vAlign w:val="center"/>
            <w:hideMark/>
          </w:tcPr>
          <w:p w14:paraId="7E53D929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Modificación de plazos de proyectos</w:t>
            </w:r>
          </w:p>
        </w:tc>
        <w:tc>
          <w:tcPr>
            <w:tcW w:w="9995" w:type="dxa"/>
            <w:vAlign w:val="center"/>
            <w:hideMark/>
          </w:tcPr>
          <w:p w14:paraId="71BEFF44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Los ajustes menores pueden gestionarse municipalmente si están previstos; modificaciones del contrato o cambios de fondo requieren adenda y aprobación del ICT.</w:t>
            </w:r>
          </w:p>
        </w:tc>
        <w:tc>
          <w:tcPr>
            <w:tcW w:w="5262" w:type="dxa"/>
            <w:vAlign w:val="center"/>
            <w:hideMark/>
          </w:tcPr>
          <w:p w14:paraId="4753B9D5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adenda; plazo; obras; concesión</w:t>
            </w:r>
          </w:p>
        </w:tc>
      </w:tr>
      <w:tr w:rsidR="001151AC" w:rsidRPr="007A793F" w14:paraId="10F94088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331F029C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AL-A-0910-2024</w:t>
            </w:r>
          </w:p>
        </w:tc>
        <w:tc>
          <w:tcPr>
            <w:tcW w:w="2519" w:type="dxa"/>
            <w:vAlign w:val="center"/>
            <w:hideMark/>
          </w:tcPr>
          <w:p w14:paraId="5D731A5D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Prórroga y nuevo plan regulador</w:t>
            </w:r>
          </w:p>
        </w:tc>
        <w:tc>
          <w:tcPr>
            <w:tcW w:w="9995" w:type="dxa"/>
            <w:vAlign w:val="center"/>
            <w:hideMark/>
          </w:tcPr>
          <w:p w14:paraId="23C7515B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los efectos de un nuevo plan regulador sobre construcciones válidamente realizadas y las causas legales para denegar una prórroga.</w:t>
            </w:r>
          </w:p>
        </w:tc>
        <w:tc>
          <w:tcPr>
            <w:tcW w:w="5262" w:type="dxa"/>
            <w:vAlign w:val="center"/>
            <w:hideMark/>
          </w:tcPr>
          <w:p w14:paraId="3088D54B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prórroga; plan regulador; irretroactividad</w:t>
            </w:r>
          </w:p>
        </w:tc>
      </w:tr>
      <w:tr w:rsidR="001151AC" w:rsidRPr="007A793F" w14:paraId="47B12D56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452D5555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AL-A-0940-2024</w:t>
            </w:r>
          </w:p>
        </w:tc>
        <w:tc>
          <w:tcPr>
            <w:tcW w:w="2519" w:type="dxa"/>
            <w:vAlign w:val="center"/>
            <w:hideMark/>
          </w:tcPr>
          <w:p w14:paraId="725B87A9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Autenticación de gestiones</w:t>
            </w:r>
          </w:p>
        </w:tc>
        <w:tc>
          <w:tcPr>
            <w:tcW w:w="9995" w:type="dxa"/>
            <w:vAlign w:val="center"/>
            <w:hideMark/>
          </w:tcPr>
          <w:p w14:paraId="3C70554E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 expresión “cualquier gestión” del artículo 27 del Reglamento de la Ley N° 6043 comprende en principio las gestiones vinculadas con concesiones, sin perjuicio de la Ley N° 8220.</w:t>
            </w:r>
          </w:p>
        </w:tc>
        <w:tc>
          <w:tcPr>
            <w:tcW w:w="5262" w:type="dxa"/>
            <w:vAlign w:val="center"/>
            <w:hideMark/>
          </w:tcPr>
          <w:p w14:paraId="3C85755E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autenticación; trámite; concesión</w:t>
            </w:r>
          </w:p>
        </w:tc>
      </w:tr>
      <w:tr w:rsidR="001151AC" w:rsidRPr="007A793F" w14:paraId="0B4729E1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7325170D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AL-A-0941-2024</w:t>
            </w:r>
          </w:p>
        </w:tc>
        <w:tc>
          <w:tcPr>
            <w:tcW w:w="2519" w:type="dxa"/>
            <w:vAlign w:val="center"/>
            <w:hideMark/>
          </w:tcPr>
          <w:p w14:paraId="1B7EC505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Canon en ZMT</w:t>
            </w:r>
          </w:p>
        </w:tc>
        <w:tc>
          <w:tcPr>
            <w:tcW w:w="9995" w:type="dxa"/>
            <w:vAlign w:val="center"/>
            <w:hideMark/>
          </w:tcPr>
          <w:p w14:paraId="69590497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el régimen de determinación, cobro o exigibilidad del canon derivado de concesiones sobre ZMT.</w:t>
            </w:r>
          </w:p>
        </w:tc>
        <w:tc>
          <w:tcPr>
            <w:tcW w:w="5262" w:type="dxa"/>
            <w:vAlign w:val="center"/>
            <w:hideMark/>
          </w:tcPr>
          <w:p w14:paraId="17120267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canon; concesión; ZMT</w:t>
            </w:r>
          </w:p>
        </w:tc>
      </w:tr>
      <w:tr w:rsidR="001151AC" w:rsidRPr="007A793F" w14:paraId="578EA29F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441E5A68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AL-A-0951-2024</w:t>
            </w:r>
          </w:p>
        </w:tc>
        <w:tc>
          <w:tcPr>
            <w:tcW w:w="2519" w:type="dxa"/>
            <w:vAlign w:val="center"/>
            <w:hideMark/>
          </w:tcPr>
          <w:p w14:paraId="344B6430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Derecho de petición</w:t>
            </w:r>
          </w:p>
        </w:tc>
        <w:tc>
          <w:tcPr>
            <w:tcW w:w="9995" w:type="dxa"/>
            <w:vAlign w:val="center"/>
            <w:hideMark/>
          </w:tcPr>
          <w:p w14:paraId="4B4F6040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El derecho de petición garantiza respuesta, pero no obliga a la Administración a acceder a pretensiones que excedan sus competencias o que no constituyan simples solicitudes de información.</w:t>
            </w:r>
          </w:p>
        </w:tc>
        <w:tc>
          <w:tcPr>
            <w:tcW w:w="5262" w:type="dxa"/>
            <w:vAlign w:val="center"/>
            <w:hideMark/>
          </w:tcPr>
          <w:p w14:paraId="3F2C56C9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petición; información; competencia</w:t>
            </w:r>
          </w:p>
        </w:tc>
      </w:tr>
      <w:tr w:rsidR="001151AC" w:rsidRPr="007A793F" w14:paraId="68654909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6019876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AL-A-0950-2024</w:t>
            </w:r>
          </w:p>
        </w:tc>
        <w:tc>
          <w:tcPr>
            <w:tcW w:w="2519" w:type="dxa"/>
            <w:vAlign w:val="center"/>
            <w:hideMark/>
          </w:tcPr>
          <w:p w14:paraId="57EDC830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Cambio de domicilio de empresa turística</w:t>
            </w:r>
          </w:p>
        </w:tc>
        <w:tc>
          <w:tcPr>
            <w:tcW w:w="9995" w:type="dxa"/>
            <w:vAlign w:val="center"/>
            <w:hideMark/>
          </w:tcPr>
          <w:p w14:paraId="5825AF3B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Los cambios de domicilio de empresas declaradas turísticas deben resolverse según las categorías expresamente previstas por el Reglamento y el principio de legalidad.</w:t>
            </w:r>
          </w:p>
        </w:tc>
        <w:tc>
          <w:tcPr>
            <w:tcW w:w="5262" w:type="dxa"/>
            <w:vAlign w:val="center"/>
            <w:hideMark/>
          </w:tcPr>
          <w:p w14:paraId="38C04373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declaratoria; domicilio; empresa turística</w:t>
            </w:r>
          </w:p>
        </w:tc>
      </w:tr>
      <w:tr w:rsidR="001151AC" w:rsidRPr="007A793F" w14:paraId="3B9971A0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0AFCEBD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AL-A-0977-2024</w:t>
            </w:r>
          </w:p>
        </w:tc>
        <w:tc>
          <w:tcPr>
            <w:tcW w:w="2519" w:type="dxa"/>
            <w:vAlign w:val="center"/>
            <w:hideMark/>
          </w:tcPr>
          <w:p w14:paraId="2AADB1D7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ICT y municipalidades en ZMT</w:t>
            </w:r>
          </w:p>
        </w:tc>
        <w:tc>
          <w:tcPr>
            <w:tcW w:w="9995" w:type="dxa"/>
            <w:vAlign w:val="center"/>
            <w:hideMark/>
          </w:tcPr>
          <w:p w14:paraId="648C5161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 administración de la ZMT corresponde a los gobiernos locales, mientras el ICT ejerce superior y general vigilancia y las competencias expresamente atribuidas por ley.</w:t>
            </w:r>
          </w:p>
        </w:tc>
        <w:tc>
          <w:tcPr>
            <w:tcW w:w="5262" w:type="dxa"/>
            <w:vAlign w:val="center"/>
            <w:hideMark/>
          </w:tcPr>
          <w:p w14:paraId="761AF2FE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municipalidad; ICT; vigilancia</w:t>
            </w:r>
          </w:p>
        </w:tc>
      </w:tr>
      <w:tr w:rsidR="001151AC" w:rsidRPr="007A793F" w14:paraId="515A4042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08A8EA7C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AL-A-1117-2024</w:t>
            </w:r>
          </w:p>
        </w:tc>
        <w:tc>
          <w:tcPr>
            <w:tcW w:w="2519" w:type="dxa"/>
            <w:vAlign w:val="center"/>
            <w:hideMark/>
          </w:tcPr>
          <w:p w14:paraId="342D8A38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Restricciones de nacionalidad</w:t>
            </w:r>
          </w:p>
        </w:tc>
        <w:tc>
          <w:tcPr>
            <w:tcW w:w="9995" w:type="dxa"/>
            <w:vAlign w:val="center"/>
            <w:hideMark/>
          </w:tcPr>
          <w:p w14:paraId="521C5E9C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Las prohibiciones del artículo 47 son taxativas y deben interpretarse conforme al principio de legalidad, sin extenderlas a supuestos no contemplados por la ley.</w:t>
            </w:r>
          </w:p>
        </w:tc>
        <w:tc>
          <w:tcPr>
            <w:tcW w:w="5262" w:type="dxa"/>
            <w:vAlign w:val="center"/>
            <w:hideMark/>
          </w:tcPr>
          <w:p w14:paraId="25665F77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nacionalidad; artículo 47; extranjeros</w:t>
            </w:r>
          </w:p>
        </w:tc>
      </w:tr>
      <w:tr w:rsidR="001151AC" w:rsidRPr="007A793F" w14:paraId="77450DFB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0E601353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AL-A-1119-2024</w:t>
            </w:r>
          </w:p>
        </w:tc>
        <w:tc>
          <w:tcPr>
            <w:tcW w:w="2519" w:type="dxa"/>
            <w:vAlign w:val="center"/>
            <w:hideMark/>
          </w:tcPr>
          <w:p w14:paraId="1275D998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Expropiación y sobreposición</w:t>
            </w:r>
          </w:p>
        </w:tc>
        <w:tc>
          <w:tcPr>
            <w:tcW w:w="9995" w:type="dxa"/>
            <w:vAlign w:val="center"/>
            <w:hideMark/>
          </w:tcPr>
          <w:p w14:paraId="4E2962E0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Una posible sobreposición entre propiedad privada y ZMT no genera automáticamente obligación de expropiar; la expropiación exige una necesidad pública concreta.</w:t>
            </w:r>
          </w:p>
        </w:tc>
        <w:tc>
          <w:tcPr>
            <w:tcW w:w="5262" w:type="dxa"/>
            <w:vAlign w:val="center"/>
            <w:hideMark/>
          </w:tcPr>
          <w:p w14:paraId="24C3103B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expropiación; sobreposición; ZMT</w:t>
            </w:r>
          </w:p>
        </w:tc>
      </w:tr>
      <w:tr w:rsidR="001151AC" w:rsidRPr="007A793F" w14:paraId="2DAA3553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2F365B7B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AL-A-1162-2024</w:t>
            </w:r>
          </w:p>
        </w:tc>
        <w:tc>
          <w:tcPr>
            <w:tcW w:w="2519" w:type="dxa"/>
            <w:vAlign w:val="center"/>
            <w:hideMark/>
          </w:tcPr>
          <w:p w14:paraId="32D9780B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Alimentación con fondos públicos</w:t>
            </w:r>
          </w:p>
        </w:tc>
        <w:tc>
          <w:tcPr>
            <w:tcW w:w="9995" w:type="dxa"/>
            <w:vAlign w:val="center"/>
            <w:hideMark/>
          </w:tcPr>
          <w:p w14:paraId="5BDEFB36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El suministro de alimentación con recursos públicos exige excepcionalidad, razonabilidad, austeridad y justificación suficiente.</w:t>
            </w:r>
          </w:p>
        </w:tc>
        <w:tc>
          <w:tcPr>
            <w:tcW w:w="5262" w:type="dxa"/>
            <w:vAlign w:val="center"/>
            <w:hideMark/>
          </w:tcPr>
          <w:p w14:paraId="14582FD2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fondos públicos; alimentación; austeridad</w:t>
            </w:r>
          </w:p>
        </w:tc>
      </w:tr>
      <w:tr w:rsidR="001151AC" w:rsidRPr="007A793F" w14:paraId="71384322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75CC7F73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AL-A-1166-2024</w:t>
            </w:r>
          </w:p>
        </w:tc>
        <w:tc>
          <w:tcPr>
            <w:tcW w:w="2519" w:type="dxa"/>
            <w:vAlign w:val="center"/>
            <w:hideMark/>
          </w:tcPr>
          <w:p w14:paraId="29318125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IVA de instituciones públicas</w:t>
            </w:r>
          </w:p>
        </w:tc>
        <w:tc>
          <w:tcPr>
            <w:tcW w:w="9995" w:type="dxa"/>
            <w:vAlign w:val="center"/>
            <w:hideMark/>
          </w:tcPr>
          <w:p w14:paraId="6B342355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Analiza los efectos de la Ley N° 9635 sobre exoneraciones históricas y la posterior sujeción institucional al IVA.</w:t>
            </w:r>
          </w:p>
        </w:tc>
        <w:tc>
          <w:tcPr>
            <w:tcW w:w="5262" w:type="dxa"/>
            <w:vAlign w:val="center"/>
            <w:hideMark/>
          </w:tcPr>
          <w:p w14:paraId="4A3C6B3D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IVA; exoneración; Ley 9635</w:t>
            </w:r>
          </w:p>
        </w:tc>
      </w:tr>
      <w:tr w:rsidR="001151AC" w:rsidRPr="007A793F" w14:paraId="65A96389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67459FA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lastRenderedPageBreak/>
              <w:t>AL-A-1211-2024</w:t>
            </w:r>
          </w:p>
        </w:tc>
        <w:tc>
          <w:tcPr>
            <w:tcW w:w="2519" w:type="dxa"/>
            <w:vAlign w:val="center"/>
            <w:hideMark/>
          </w:tcPr>
          <w:p w14:paraId="5F59B8B9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Transformación societaria CIMAT</w:t>
            </w:r>
          </w:p>
        </w:tc>
        <w:tc>
          <w:tcPr>
            <w:tcW w:w="9995" w:type="dxa"/>
            <w:vAlign w:val="center"/>
            <w:hideMark/>
          </w:tcPr>
          <w:p w14:paraId="101088DF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 transformación de una sociedad no crea una persona jurídica nueva; procede actualizar los datos sin tratarla como sustitución de sujeto.</w:t>
            </w:r>
          </w:p>
        </w:tc>
        <w:tc>
          <w:tcPr>
            <w:tcW w:w="5262" w:type="dxa"/>
            <w:vAlign w:val="center"/>
            <w:hideMark/>
          </w:tcPr>
          <w:p w14:paraId="655F898F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transformación; sociedad; CIMAT</w:t>
            </w:r>
          </w:p>
        </w:tc>
      </w:tr>
      <w:tr w:rsidR="001151AC" w:rsidRPr="007A793F" w14:paraId="1DEFF735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2E5C5C5B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AL-A-1257-2024</w:t>
            </w:r>
          </w:p>
        </w:tc>
        <w:tc>
          <w:tcPr>
            <w:tcW w:w="2519" w:type="dxa"/>
            <w:vAlign w:val="center"/>
            <w:hideMark/>
          </w:tcPr>
          <w:p w14:paraId="1BE5F9E5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Prórrogas de concesión</w:t>
            </w:r>
          </w:p>
        </w:tc>
        <w:tc>
          <w:tcPr>
            <w:tcW w:w="9995" w:type="dxa"/>
            <w:vAlign w:val="center"/>
            <w:hideMark/>
          </w:tcPr>
          <w:p w14:paraId="60B080C9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Sistematiza requisitos, plazo y procedimiento para prórrogas ordinarias y anticipadas en ZMT.</w:t>
            </w:r>
          </w:p>
        </w:tc>
        <w:tc>
          <w:tcPr>
            <w:tcW w:w="5262" w:type="dxa"/>
            <w:vAlign w:val="center"/>
            <w:hideMark/>
          </w:tcPr>
          <w:p w14:paraId="6E497A81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prórroga; concesión; plazo</w:t>
            </w:r>
          </w:p>
        </w:tc>
      </w:tr>
      <w:tr w:rsidR="001151AC" w:rsidRPr="007A793F" w14:paraId="0F188A8F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9EB5C5C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AL-A-1289-2024</w:t>
            </w:r>
          </w:p>
        </w:tc>
        <w:tc>
          <w:tcPr>
            <w:tcW w:w="2519" w:type="dxa"/>
            <w:vAlign w:val="center"/>
            <w:hideMark/>
          </w:tcPr>
          <w:p w14:paraId="2674289F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Garantías en Papagayo</w:t>
            </w:r>
          </w:p>
        </w:tc>
        <w:tc>
          <w:tcPr>
            <w:tcW w:w="9995" w:type="dxa"/>
            <w:vAlign w:val="center"/>
            <w:hideMark/>
          </w:tcPr>
          <w:p w14:paraId="51471921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Interpreta el régimen de garantías de cumplimiento por etapas dentro del PTGP.</w:t>
            </w:r>
          </w:p>
        </w:tc>
        <w:tc>
          <w:tcPr>
            <w:tcW w:w="5262" w:type="dxa"/>
            <w:vAlign w:val="center"/>
            <w:hideMark/>
          </w:tcPr>
          <w:p w14:paraId="2F9BD7C3" w14:textId="77777777" w:rsidR="001151AC" w:rsidRPr="007A793F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Papagayo; garantía; etapas</w:t>
            </w:r>
          </w:p>
        </w:tc>
      </w:tr>
      <w:tr w:rsidR="001151AC" w:rsidRPr="007A793F" w14:paraId="073DA6E0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3B885735" w14:textId="77777777" w:rsidR="001151AC" w:rsidRPr="007A793F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AL-A-1454-2024</w:t>
            </w:r>
          </w:p>
        </w:tc>
        <w:tc>
          <w:tcPr>
            <w:tcW w:w="2519" w:type="dxa"/>
            <w:vAlign w:val="center"/>
            <w:hideMark/>
          </w:tcPr>
          <w:p w14:paraId="55892997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Permisos temporales en zona pública</w:t>
            </w:r>
          </w:p>
        </w:tc>
        <w:tc>
          <w:tcPr>
            <w:tcW w:w="9995" w:type="dxa"/>
            <w:vAlign w:val="center"/>
            <w:hideMark/>
          </w:tcPr>
          <w:p w14:paraId="0A0D6A57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Las actividades temporales y de fácil remoción pueden autorizarse excepcionalmente cuando no impidan el libre tránsito ni desnaturalicen el uso común.</w:t>
            </w:r>
          </w:p>
        </w:tc>
        <w:tc>
          <w:tcPr>
            <w:tcW w:w="5262" w:type="dxa"/>
            <w:vAlign w:val="center"/>
            <w:hideMark/>
          </w:tcPr>
          <w:p w14:paraId="3FB52EF9" w14:textId="77777777" w:rsidR="001151AC" w:rsidRPr="007A793F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A793F">
              <w:rPr>
                <w:sz w:val="20"/>
                <w:szCs w:val="20"/>
              </w:rPr>
              <w:t>zona pública; permiso; precariedad</w:t>
            </w:r>
          </w:p>
        </w:tc>
      </w:tr>
    </w:tbl>
    <w:p w14:paraId="48ECF742" w14:textId="72030A1F" w:rsidR="007A793F" w:rsidRPr="00536FD6" w:rsidRDefault="007A793F" w:rsidP="00536FD6">
      <w:pPr>
        <w:spacing w:before="120" w:after="120" w:line="240" w:lineRule="auto"/>
        <w:jc w:val="center"/>
        <w:rPr>
          <w:b/>
          <w:bCs/>
          <w:sz w:val="52"/>
          <w:szCs w:val="52"/>
        </w:rPr>
      </w:pPr>
      <w:r w:rsidRPr="00536FD6">
        <w:rPr>
          <w:b/>
          <w:bCs/>
          <w:sz w:val="52"/>
          <w:szCs w:val="52"/>
        </w:rPr>
        <w:t>2025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1656"/>
        <w:gridCol w:w="2433"/>
        <w:gridCol w:w="10081"/>
        <w:gridCol w:w="5262"/>
      </w:tblGrid>
      <w:tr w:rsidR="001151AC" w:rsidRPr="00E057D1" w14:paraId="393C30C6" w14:textId="77777777" w:rsidTr="001151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7DFEB4EF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N° de criterio</w:t>
            </w:r>
          </w:p>
        </w:tc>
        <w:tc>
          <w:tcPr>
            <w:tcW w:w="2433" w:type="dxa"/>
            <w:vAlign w:val="center"/>
            <w:hideMark/>
          </w:tcPr>
          <w:p w14:paraId="7BA42242" w14:textId="77777777" w:rsidR="001151AC" w:rsidRPr="00E057D1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Tema principal</w:t>
            </w:r>
          </w:p>
        </w:tc>
        <w:tc>
          <w:tcPr>
            <w:tcW w:w="10081" w:type="dxa"/>
            <w:vAlign w:val="center"/>
            <w:hideMark/>
          </w:tcPr>
          <w:p w14:paraId="62C34200" w14:textId="77777777" w:rsidR="001151AC" w:rsidRPr="00E057D1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Resumen ejecutivo</w:t>
            </w:r>
          </w:p>
        </w:tc>
        <w:tc>
          <w:tcPr>
            <w:tcW w:w="5262" w:type="dxa"/>
            <w:vAlign w:val="center"/>
            <w:hideMark/>
          </w:tcPr>
          <w:p w14:paraId="77C7D5EF" w14:textId="77777777" w:rsidR="001151AC" w:rsidRPr="00E057D1" w:rsidRDefault="001151AC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Palabras clave</w:t>
            </w:r>
          </w:p>
        </w:tc>
      </w:tr>
      <w:tr w:rsidR="001151AC" w:rsidRPr="00E057D1" w14:paraId="2D1F23E4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5527DC38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AL-A-0027-2025</w:t>
            </w:r>
          </w:p>
        </w:tc>
        <w:tc>
          <w:tcPr>
            <w:tcW w:w="2433" w:type="dxa"/>
            <w:vAlign w:val="center"/>
            <w:hideMark/>
          </w:tcPr>
          <w:p w14:paraId="05D6E8D6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Donaciones y obsequios</w:t>
            </w:r>
          </w:p>
        </w:tc>
        <w:tc>
          <w:tcPr>
            <w:tcW w:w="10081" w:type="dxa"/>
            <w:vAlign w:val="center"/>
            <w:hideMark/>
          </w:tcPr>
          <w:p w14:paraId="20AF1B4F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Ante contradicción entre normativa interna y normativa superior en materia anticorrupción, debe prevalecer esta última y ajustarse el reglamento institucional.</w:t>
            </w:r>
          </w:p>
        </w:tc>
        <w:tc>
          <w:tcPr>
            <w:tcW w:w="5262" w:type="dxa"/>
            <w:vAlign w:val="center"/>
            <w:hideMark/>
          </w:tcPr>
          <w:p w14:paraId="78B756B3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obsequios; corrupción; jerarquía normativa</w:t>
            </w:r>
          </w:p>
        </w:tc>
      </w:tr>
      <w:tr w:rsidR="001151AC" w:rsidRPr="00E057D1" w14:paraId="58DFF32E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EB0AAA9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AL-A-0204-2025</w:t>
            </w:r>
          </w:p>
        </w:tc>
        <w:tc>
          <w:tcPr>
            <w:tcW w:w="2433" w:type="dxa"/>
            <w:vAlign w:val="center"/>
            <w:hideMark/>
          </w:tcPr>
          <w:p w14:paraId="7C4A3FF4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Tipos de uso en concesiones</w:t>
            </w:r>
          </w:p>
        </w:tc>
        <w:tc>
          <w:tcPr>
            <w:tcW w:w="10081" w:type="dxa"/>
            <w:vAlign w:val="center"/>
            <w:hideMark/>
          </w:tcPr>
          <w:p w14:paraId="47846010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Analiza la compatibilidad de determinados usos con el destino de la concesión y la planificación vigente en ZMT.</w:t>
            </w:r>
          </w:p>
        </w:tc>
        <w:tc>
          <w:tcPr>
            <w:tcW w:w="5262" w:type="dxa"/>
            <w:vAlign w:val="center"/>
            <w:hideMark/>
          </w:tcPr>
          <w:p w14:paraId="3C66195C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usos; concesión; plan regulador</w:t>
            </w:r>
          </w:p>
        </w:tc>
      </w:tr>
      <w:tr w:rsidR="001151AC" w:rsidRPr="00E057D1" w14:paraId="415B432D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228100D5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AL-A-0278-2025</w:t>
            </w:r>
          </w:p>
        </w:tc>
        <w:tc>
          <w:tcPr>
            <w:tcW w:w="2433" w:type="dxa"/>
            <w:vAlign w:val="center"/>
            <w:hideMark/>
          </w:tcPr>
          <w:p w14:paraId="7019F277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Licencia laboral por desastres</w:t>
            </w:r>
          </w:p>
        </w:tc>
        <w:tc>
          <w:tcPr>
            <w:tcW w:w="10081" w:type="dxa"/>
            <w:vAlign w:val="center"/>
            <w:hideMark/>
          </w:tcPr>
          <w:p w14:paraId="2E77C295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Analiza un proyecto de ley destinado a reconocer licencias remuneradas frente a emergencias o desastres naturales.</w:t>
            </w:r>
          </w:p>
        </w:tc>
        <w:tc>
          <w:tcPr>
            <w:tcW w:w="5262" w:type="dxa"/>
            <w:vAlign w:val="center"/>
            <w:hideMark/>
          </w:tcPr>
          <w:p w14:paraId="437091A4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licencia; desastre; empleo</w:t>
            </w:r>
          </w:p>
        </w:tc>
      </w:tr>
      <w:tr w:rsidR="001151AC" w:rsidRPr="00E057D1" w14:paraId="2BA7932C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652CE704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ALA-0357-2025</w:t>
            </w:r>
          </w:p>
        </w:tc>
        <w:tc>
          <w:tcPr>
            <w:tcW w:w="2433" w:type="dxa"/>
            <w:vAlign w:val="center"/>
            <w:hideMark/>
          </w:tcPr>
          <w:p w14:paraId="6387B37A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Edad de jubilación</w:t>
            </w:r>
          </w:p>
        </w:tc>
        <w:tc>
          <w:tcPr>
            <w:tcW w:w="10081" w:type="dxa"/>
            <w:vAlign w:val="center"/>
            <w:hideMark/>
          </w:tcPr>
          <w:p w14:paraId="67FD416F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El proyecto N° 24.852 debe garantizar proporcionalidad, sostenibilidad y protección de derechos al fijar edad de pensión, jubilación anticipada y máximo de cotizaciones.</w:t>
            </w:r>
          </w:p>
        </w:tc>
        <w:tc>
          <w:tcPr>
            <w:tcW w:w="5262" w:type="dxa"/>
            <w:vAlign w:val="center"/>
            <w:hideMark/>
          </w:tcPr>
          <w:p w14:paraId="79C431A9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jubilación; pensión; CCSS; IVM</w:t>
            </w:r>
          </w:p>
        </w:tc>
      </w:tr>
      <w:tr w:rsidR="001151AC" w:rsidRPr="00E057D1" w14:paraId="77507AEC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56C5DBAB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AL-A-0382-2025</w:t>
            </w:r>
          </w:p>
        </w:tc>
        <w:tc>
          <w:tcPr>
            <w:tcW w:w="2433" w:type="dxa"/>
            <w:vAlign w:val="center"/>
            <w:hideMark/>
          </w:tcPr>
          <w:p w14:paraId="4B204963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Extinción, prórroga y cesión</w:t>
            </w:r>
          </w:p>
        </w:tc>
        <w:tc>
          <w:tcPr>
            <w:tcW w:w="10081" w:type="dxa"/>
            <w:vAlign w:val="center"/>
            <w:hideMark/>
          </w:tcPr>
          <w:p w14:paraId="30AC3781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Distingue los efectos y procedimientos aplicables a prórroga extemporánea, cesión parcial, extinción y desinscripción de concesiones.</w:t>
            </w:r>
          </w:p>
        </w:tc>
        <w:tc>
          <w:tcPr>
            <w:tcW w:w="5262" w:type="dxa"/>
            <w:vAlign w:val="center"/>
            <w:hideMark/>
          </w:tcPr>
          <w:p w14:paraId="59DA0FDA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extinción; cesión; prórroga</w:t>
            </w:r>
          </w:p>
        </w:tc>
      </w:tr>
      <w:tr w:rsidR="001151AC" w:rsidRPr="00E057D1" w14:paraId="31534475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65889629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AL-A-0476-2025</w:t>
            </w:r>
          </w:p>
        </w:tc>
        <w:tc>
          <w:tcPr>
            <w:tcW w:w="2433" w:type="dxa"/>
            <w:vAlign w:val="center"/>
            <w:hideMark/>
          </w:tcPr>
          <w:p w14:paraId="3D7F75CB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Delegación de funciones</w:t>
            </w:r>
          </w:p>
        </w:tc>
        <w:tc>
          <w:tcPr>
            <w:tcW w:w="10081" w:type="dxa"/>
            <w:vAlign w:val="center"/>
            <w:hideMark/>
          </w:tcPr>
          <w:p w14:paraId="5DD6CF6D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delegación de competencias del Consejo Director del PTGP o de CIMAT debe respetar las reglas de la LGAP, la estructura jerárquica y las competencias propias de cada órgano.</w:t>
            </w:r>
          </w:p>
        </w:tc>
        <w:tc>
          <w:tcPr>
            <w:tcW w:w="5262" w:type="dxa"/>
            <w:vAlign w:val="center"/>
            <w:hideMark/>
          </w:tcPr>
          <w:p w14:paraId="14E06AE8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delegación; CIMAT; Papagayo; Gerencia</w:t>
            </w:r>
          </w:p>
        </w:tc>
      </w:tr>
      <w:tr w:rsidR="001151AC" w:rsidRPr="00E057D1" w14:paraId="52F6D98A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62760EB3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lastRenderedPageBreak/>
              <w:t>AL-A-0490-2025</w:t>
            </w:r>
          </w:p>
        </w:tc>
        <w:tc>
          <w:tcPr>
            <w:tcW w:w="2433" w:type="dxa"/>
            <w:vAlign w:val="center"/>
            <w:hideMark/>
          </w:tcPr>
          <w:p w14:paraId="485E1B3B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Comisión Reguladora de Turismo</w:t>
            </w:r>
          </w:p>
        </w:tc>
        <w:tc>
          <w:tcPr>
            <w:tcW w:w="10081" w:type="dxa"/>
            <w:vAlign w:val="center"/>
            <w:hideMark/>
          </w:tcPr>
          <w:p w14:paraId="5D4784EB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CRT es un órgano del ICT sin personalidad jurídica propia; las competencias tributarias de fiscalización corresponden al Ministerio de Hacienda.</w:t>
            </w:r>
          </w:p>
        </w:tc>
        <w:tc>
          <w:tcPr>
            <w:tcW w:w="5262" w:type="dxa"/>
            <w:vAlign w:val="center"/>
            <w:hideMark/>
          </w:tcPr>
          <w:p w14:paraId="1BC30716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CRT; contrato turístico; exoneraciones</w:t>
            </w:r>
          </w:p>
        </w:tc>
      </w:tr>
      <w:tr w:rsidR="001151AC" w:rsidRPr="00E057D1" w14:paraId="2FB8E7EE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63045AB9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AL-A-0497-2025</w:t>
            </w:r>
          </w:p>
        </w:tc>
        <w:tc>
          <w:tcPr>
            <w:tcW w:w="2433" w:type="dxa"/>
            <w:vAlign w:val="center"/>
            <w:hideMark/>
          </w:tcPr>
          <w:p w14:paraId="1B6BF8A9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Seguridad turística y extorsión</w:t>
            </w:r>
          </w:p>
        </w:tc>
        <w:tc>
          <w:tcPr>
            <w:tcW w:w="10081" w:type="dxa"/>
            <w:vAlign w:val="center"/>
            <w:hideMark/>
          </w:tcPr>
          <w:p w14:paraId="182F2E62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El ICT puede colaborar en seguridad turística, pero la prevención policial y persecución penal corresponden a las autoridades competentes.</w:t>
            </w:r>
          </w:p>
        </w:tc>
        <w:tc>
          <w:tcPr>
            <w:tcW w:w="5262" w:type="dxa"/>
            <w:vAlign w:val="center"/>
            <w:hideMark/>
          </w:tcPr>
          <w:p w14:paraId="651327E9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seguridad; extorsión; turismo</w:t>
            </w:r>
          </w:p>
        </w:tc>
      </w:tr>
      <w:tr w:rsidR="001151AC" w:rsidRPr="00E057D1" w14:paraId="1168A7DB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63A66123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AL-A-0509-2025</w:t>
            </w:r>
          </w:p>
        </w:tc>
        <w:tc>
          <w:tcPr>
            <w:tcW w:w="2433" w:type="dxa"/>
            <w:vAlign w:val="center"/>
            <w:hideMark/>
          </w:tcPr>
          <w:p w14:paraId="15249C00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Gobierno corporativo</w:t>
            </w:r>
          </w:p>
        </w:tc>
        <w:tc>
          <w:tcPr>
            <w:tcW w:w="10081" w:type="dxa"/>
            <w:vAlign w:val="center"/>
            <w:hideMark/>
          </w:tcPr>
          <w:p w14:paraId="388159C8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normativa interna no puede trasladar a comités o estructuras auxiliares competencias atribuidas legalmente a órganos superiores.</w:t>
            </w:r>
          </w:p>
        </w:tc>
        <w:tc>
          <w:tcPr>
            <w:tcW w:w="5262" w:type="dxa"/>
            <w:vAlign w:val="center"/>
            <w:hideMark/>
          </w:tcPr>
          <w:p w14:paraId="555E3252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gobierno corporativo; competencia; reglamento</w:t>
            </w:r>
          </w:p>
        </w:tc>
      </w:tr>
      <w:tr w:rsidR="001151AC" w:rsidRPr="00E057D1" w14:paraId="554354DA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76FC496F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AL-A-0526-2025</w:t>
            </w:r>
          </w:p>
        </w:tc>
        <w:tc>
          <w:tcPr>
            <w:tcW w:w="2433" w:type="dxa"/>
            <w:vAlign w:val="center"/>
            <w:hideMark/>
          </w:tcPr>
          <w:p w14:paraId="7C4221F2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Formación de guías turísticos</w:t>
            </w:r>
          </w:p>
        </w:tc>
        <w:tc>
          <w:tcPr>
            <w:tcW w:w="10081" w:type="dxa"/>
            <w:vAlign w:val="center"/>
            <w:hideMark/>
          </w:tcPr>
          <w:p w14:paraId="101D4863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E057D1">
              <w:rPr>
                <w:sz w:val="20"/>
                <w:szCs w:val="20"/>
              </w:rPr>
              <w:t>CONAGUITUR</w:t>
            </w:r>
            <w:proofErr w:type="spellEnd"/>
            <w:r w:rsidRPr="00E057D1">
              <w:rPr>
                <w:sz w:val="20"/>
                <w:szCs w:val="20"/>
              </w:rPr>
              <w:t xml:space="preserve"> carece de competencia legal para acreditar formalmente programas académicos de formación de guías fuera de las atribuciones conferidas por el ordenamiento.</w:t>
            </w:r>
          </w:p>
        </w:tc>
        <w:tc>
          <w:tcPr>
            <w:tcW w:w="5262" w:type="dxa"/>
            <w:vAlign w:val="center"/>
            <w:hideMark/>
          </w:tcPr>
          <w:p w14:paraId="4E6EC106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 xml:space="preserve">guías; </w:t>
            </w:r>
            <w:proofErr w:type="spellStart"/>
            <w:r w:rsidRPr="00E057D1">
              <w:rPr>
                <w:sz w:val="20"/>
                <w:szCs w:val="20"/>
              </w:rPr>
              <w:t>CONAGUITUR</w:t>
            </w:r>
            <w:proofErr w:type="spellEnd"/>
            <w:r w:rsidRPr="00E057D1">
              <w:rPr>
                <w:sz w:val="20"/>
                <w:szCs w:val="20"/>
              </w:rPr>
              <w:t>; formación</w:t>
            </w:r>
          </w:p>
        </w:tc>
      </w:tr>
      <w:tr w:rsidR="001151AC" w:rsidRPr="00E057D1" w14:paraId="33B73F34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31B24FC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AL-A-0528-2025</w:t>
            </w:r>
          </w:p>
        </w:tc>
        <w:tc>
          <w:tcPr>
            <w:tcW w:w="2433" w:type="dxa"/>
            <w:vAlign w:val="center"/>
            <w:hideMark/>
          </w:tcPr>
          <w:p w14:paraId="63099328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Anualidades</w:t>
            </w:r>
          </w:p>
        </w:tc>
        <w:tc>
          <w:tcPr>
            <w:tcW w:w="10081" w:type="dxa"/>
            <w:vAlign w:val="center"/>
            <w:hideMark/>
          </w:tcPr>
          <w:p w14:paraId="015F4C69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Analiza la incidencia de jurisprudencia constitucional y del régimen de empleo público sobre el reconocimiento de anualidades.</w:t>
            </w:r>
          </w:p>
        </w:tc>
        <w:tc>
          <w:tcPr>
            <w:tcW w:w="5262" w:type="dxa"/>
            <w:vAlign w:val="center"/>
            <w:hideMark/>
          </w:tcPr>
          <w:p w14:paraId="40031AAE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anualidades; salario; empleo público</w:t>
            </w:r>
          </w:p>
        </w:tc>
      </w:tr>
      <w:tr w:rsidR="001151AC" w:rsidRPr="00E057D1" w14:paraId="4ECEB7FF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80072AD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AL-A-0541-2025</w:t>
            </w:r>
          </w:p>
        </w:tc>
        <w:tc>
          <w:tcPr>
            <w:tcW w:w="2433" w:type="dxa"/>
            <w:vAlign w:val="center"/>
            <w:hideMark/>
          </w:tcPr>
          <w:p w14:paraId="72AEF26B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Transformación de concesionaria</w:t>
            </w:r>
          </w:p>
        </w:tc>
        <w:tc>
          <w:tcPr>
            <w:tcW w:w="10081" w:type="dxa"/>
            <w:vAlign w:val="center"/>
            <w:hideMark/>
          </w:tcPr>
          <w:p w14:paraId="3C96F147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transformación societaria no extingue la persona jurídica, por lo que no constituye una cesión de la concesión; sí exige actualización documental.</w:t>
            </w:r>
          </w:p>
        </w:tc>
        <w:tc>
          <w:tcPr>
            <w:tcW w:w="5262" w:type="dxa"/>
            <w:vAlign w:val="center"/>
            <w:hideMark/>
          </w:tcPr>
          <w:p w14:paraId="05B2F4C2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transformación; sociedad; concesión</w:t>
            </w:r>
          </w:p>
        </w:tc>
      </w:tr>
      <w:tr w:rsidR="001151AC" w:rsidRPr="00E057D1" w14:paraId="653F3232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6B75858E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AL-A-0606-2025</w:t>
            </w:r>
          </w:p>
        </w:tc>
        <w:tc>
          <w:tcPr>
            <w:tcW w:w="2433" w:type="dxa"/>
            <w:vAlign w:val="center"/>
            <w:hideMark/>
          </w:tcPr>
          <w:p w14:paraId="67637460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Organización institucional</w:t>
            </w:r>
          </w:p>
        </w:tc>
        <w:tc>
          <w:tcPr>
            <w:tcW w:w="10081" w:type="dxa"/>
            <w:vAlign w:val="center"/>
            <w:hideMark/>
          </w:tcPr>
          <w:p w14:paraId="6D7464D5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Asesoría Legal no sustituye los criterios técnicos de las unidades sobre estructura organizativa; primero debe existir definición técnica y luego revisión jurídica.</w:t>
            </w:r>
          </w:p>
        </w:tc>
        <w:tc>
          <w:tcPr>
            <w:tcW w:w="5262" w:type="dxa"/>
            <w:vAlign w:val="center"/>
            <w:hideMark/>
          </w:tcPr>
          <w:p w14:paraId="254D370B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organización; criterio técnico; reglamento</w:t>
            </w:r>
          </w:p>
        </w:tc>
      </w:tr>
      <w:tr w:rsidR="001151AC" w:rsidRPr="00E057D1" w14:paraId="6CCC6A1F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44759449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AL-A-0637-2025</w:t>
            </w:r>
          </w:p>
        </w:tc>
        <w:tc>
          <w:tcPr>
            <w:tcW w:w="2433" w:type="dxa"/>
            <w:vAlign w:val="center"/>
            <w:hideMark/>
          </w:tcPr>
          <w:p w14:paraId="75EE49FA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Prórroga anticipada y aumento de área</w:t>
            </w:r>
          </w:p>
        </w:tc>
        <w:tc>
          <w:tcPr>
            <w:tcW w:w="10081" w:type="dxa"/>
            <w:vAlign w:val="center"/>
            <w:hideMark/>
          </w:tcPr>
          <w:p w14:paraId="5198FF2B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prórroga y la modificación de área son figuras distintas y deben cumplir sus respectivos requisitos aun cuando se tramiten de forma relacionada.</w:t>
            </w:r>
          </w:p>
        </w:tc>
        <w:tc>
          <w:tcPr>
            <w:tcW w:w="5262" w:type="dxa"/>
            <w:vAlign w:val="center"/>
            <w:hideMark/>
          </w:tcPr>
          <w:p w14:paraId="7581FE7E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prórroga; área; concesión</w:t>
            </w:r>
          </w:p>
        </w:tc>
      </w:tr>
      <w:tr w:rsidR="001151AC" w:rsidRPr="00E057D1" w14:paraId="262E6F7E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79101F4B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AL-A-0639-2025</w:t>
            </w:r>
          </w:p>
        </w:tc>
        <w:tc>
          <w:tcPr>
            <w:tcW w:w="2433" w:type="dxa"/>
            <w:vAlign w:val="center"/>
            <w:hideMark/>
          </w:tcPr>
          <w:p w14:paraId="217A0E0B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Modificación contractual</w:t>
            </w:r>
          </w:p>
        </w:tc>
        <w:tc>
          <w:tcPr>
            <w:tcW w:w="10081" w:type="dxa"/>
            <w:vAlign w:val="center"/>
            <w:hideMark/>
          </w:tcPr>
          <w:p w14:paraId="6279868C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municipalidad no puede modificar unilateralmente el contrato de concesión mediante nuevas cláusulas; se requiere consentimiento y formalización mediante adenda cuando corresponda.</w:t>
            </w:r>
          </w:p>
        </w:tc>
        <w:tc>
          <w:tcPr>
            <w:tcW w:w="5262" w:type="dxa"/>
            <w:vAlign w:val="center"/>
            <w:hideMark/>
          </w:tcPr>
          <w:p w14:paraId="6B2B9ECB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contrato; cláusula; adenda</w:t>
            </w:r>
          </w:p>
        </w:tc>
      </w:tr>
      <w:tr w:rsidR="001151AC" w:rsidRPr="00E057D1" w14:paraId="28F0A148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5E77FD01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AL-A-0654-2025</w:t>
            </w:r>
          </w:p>
        </w:tc>
        <w:tc>
          <w:tcPr>
            <w:tcW w:w="2433" w:type="dxa"/>
            <w:vAlign w:val="center"/>
            <w:hideMark/>
          </w:tcPr>
          <w:p w14:paraId="6261BAD6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Extinción y cancelación</w:t>
            </w:r>
          </w:p>
        </w:tc>
        <w:tc>
          <w:tcPr>
            <w:tcW w:w="10081" w:type="dxa"/>
            <w:vAlign w:val="center"/>
            <w:hideMark/>
          </w:tcPr>
          <w:p w14:paraId="5A498D04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Analiza supuestos de finalización de concesiones y la diferencia entre extinción automática y cancelación administrativa.</w:t>
            </w:r>
          </w:p>
        </w:tc>
        <w:tc>
          <w:tcPr>
            <w:tcW w:w="5262" w:type="dxa"/>
            <w:vAlign w:val="center"/>
            <w:hideMark/>
          </w:tcPr>
          <w:p w14:paraId="52B3B429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extinción; cancelación; concesión</w:t>
            </w:r>
          </w:p>
        </w:tc>
      </w:tr>
      <w:tr w:rsidR="001151AC" w:rsidRPr="00E057D1" w14:paraId="45C8BB16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3268165B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ALA-0673-2025</w:t>
            </w:r>
          </w:p>
        </w:tc>
        <w:tc>
          <w:tcPr>
            <w:tcW w:w="2433" w:type="dxa"/>
            <w:vAlign w:val="center"/>
            <w:hideMark/>
          </w:tcPr>
          <w:p w14:paraId="3824FB9E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Reforma de la Ley de Agencias de Viajes</w:t>
            </w:r>
          </w:p>
        </w:tc>
        <w:tc>
          <w:tcPr>
            <w:tcW w:w="10081" w:type="dxa"/>
            <w:vAlign w:val="center"/>
            <w:hideMark/>
          </w:tcPr>
          <w:p w14:paraId="7DD59BC9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Analiza la propuesta de modernizar la Ley N° 5339, recomendando precisión terminológica y técnica en las categorías de agencias y operadores.</w:t>
            </w:r>
          </w:p>
        </w:tc>
        <w:tc>
          <w:tcPr>
            <w:tcW w:w="5262" w:type="dxa"/>
            <w:vAlign w:val="center"/>
            <w:hideMark/>
          </w:tcPr>
          <w:p w14:paraId="06C6617D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agencias; operadores; reforma</w:t>
            </w:r>
          </w:p>
        </w:tc>
      </w:tr>
      <w:tr w:rsidR="001151AC" w:rsidRPr="00E057D1" w14:paraId="2F0E1B7D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40BE1222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lastRenderedPageBreak/>
              <w:t>ALA-0691-2025</w:t>
            </w:r>
          </w:p>
        </w:tc>
        <w:tc>
          <w:tcPr>
            <w:tcW w:w="2433" w:type="dxa"/>
            <w:vAlign w:val="center"/>
            <w:hideMark/>
          </w:tcPr>
          <w:p w14:paraId="3278450D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Zona Urbana Litoral</w:t>
            </w:r>
          </w:p>
        </w:tc>
        <w:tc>
          <w:tcPr>
            <w:tcW w:w="10081" w:type="dxa"/>
            <w:vAlign w:val="center"/>
            <w:hideMark/>
          </w:tcPr>
          <w:p w14:paraId="4AFDC476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Advierte que eliminar el plan regulador como requisito puede privar al ICT de elementos técnicos necesarios para emitir el dictamen previsto por la Ley N° 9221.</w:t>
            </w:r>
          </w:p>
        </w:tc>
        <w:tc>
          <w:tcPr>
            <w:tcW w:w="5262" w:type="dxa"/>
            <w:vAlign w:val="center"/>
            <w:hideMark/>
          </w:tcPr>
          <w:p w14:paraId="0466BA50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zona urbana litoral; plan regulador; Ley 9221</w:t>
            </w:r>
          </w:p>
        </w:tc>
      </w:tr>
      <w:tr w:rsidR="001151AC" w:rsidRPr="00E057D1" w14:paraId="2105D5A6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4B414CB9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AL-A-0694-2025</w:t>
            </w:r>
          </w:p>
        </w:tc>
        <w:tc>
          <w:tcPr>
            <w:tcW w:w="2433" w:type="dxa"/>
            <w:vAlign w:val="center"/>
            <w:hideMark/>
          </w:tcPr>
          <w:p w14:paraId="7C91A174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Publicidad de actas</w:t>
            </w:r>
          </w:p>
        </w:tc>
        <w:tc>
          <w:tcPr>
            <w:tcW w:w="10081" w:type="dxa"/>
            <w:vAlign w:val="center"/>
            <w:hideMark/>
          </w:tcPr>
          <w:p w14:paraId="79EBD12E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Las obligaciones de publicidad deben armonizarse con las reglas de acceso a información y la protección de contenidos legalmente reservados o estratégicos.</w:t>
            </w:r>
          </w:p>
        </w:tc>
        <w:tc>
          <w:tcPr>
            <w:tcW w:w="5262" w:type="dxa"/>
            <w:vAlign w:val="center"/>
            <w:hideMark/>
          </w:tcPr>
          <w:p w14:paraId="66C4BD3B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actas; transparencia; Junta Directiva</w:t>
            </w:r>
          </w:p>
        </w:tc>
      </w:tr>
      <w:tr w:rsidR="001151AC" w:rsidRPr="00E057D1" w14:paraId="36CE3685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77E21718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AL-A-0709-2025</w:t>
            </w:r>
          </w:p>
        </w:tc>
        <w:tc>
          <w:tcPr>
            <w:tcW w:w="2433" w:type="dxa"/>
            <w:vAlign w:val="center"/>
            <w:hideMark/>
          </w:tcPr>
          <w:p w14:paraId="1B26D7D5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Embalse Arenal y marinas</w:t>
            </w:r>
          </w:p>
        </w:tc>
        <w:tc>
          <w:tcPr>
            <w:tcW w:w="10081" w:type="dxa"/>
            <w:vAlign w:val="center"/>
            <w:hideMark/>
          </w:tcPr>
          <w:p w14:paraId="3C32C060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Analiza un proyecto legislativo sobre desarrollo sostenible del Embalse Arenal y concesiones para marinas o atracaderos, destacando la necesidad de soporte técnico.</w:t>
            </w:r>
          </w:p>
        </w:tc>
        <w:tc>
          <w:tcPr>
            <w:tcW w:w="5262" w:type="dxa"/>
            <w:vAlign w:val="center"/>
            <w:hideMark/>
          </w:tcPr>
          <w:p w14:paraId="020AECFC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Arenal; marina; proyecto de ley</w:t>
            </w:r>
          </w:p>
        </w:tc>
      </w:tr>
      <w:tr w:rsidR="001151AC" w:rsidRPr="00E057D1" w14:paraId="073A159E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200E6F99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AL-A-0793-2025</w:t>
            </w:r>
          </w:p>
        </w:tc>
        <w:tc>
          <w:tcPr>
            <w:tcW w:w="2433" w:type="dxa"/>
            <w:vAlign w:val="center"/>
            <w:hideMark/>
          </w:tcPr>
          <w:p w14:paraId="690E6880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Extinción y desinscripción</w:t>
            </w:r>
          </w:p>
        </w:tc>
        <w:tc>
          <w:tcPr>
            <w:tcW w:w="10081" w:type="dxa"/>
            <w:vAlign w:val="center"/>
            <w:hideMark/>
          </w:tcPr>
          <w:p w14:paraId="68CBF3EE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extinción por vencimiento del plazo no requiere el mismo procedimiento ni consulta al ICT que la cancelación fundada en incumplimientos del artículo 53.</w:t>
            </w:r>
          </w:p>
        </w:tc>
        <w:tc>
          <w:tcPr>
            <w:tcW w:w="5262" w:type="dxa"/>
            <w:vAlign w:val="center"/>
            <w:hideMark/>
          </w:tcPr>
          <w:p w14:paraId="7359CDD8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extinción; desinscripción; cancelación</w:t>
            </w:r>
          </w:p>
        </w:tc>
      </w:tr>
      <w:tr w:rsidR="001151AC" w:rsidRPr="00E057D1" w14:paraId="5E32E37A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5A5C02FF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AL-A-0822-2025</w:t>
            </w:r>
          </w:p>
        </w:tc>
        <w:tc>
          <w:tcPr>
            <w:tcW w:w="2433" w:type="dxa"/>
            <w:vAlign w:val="center"/>
            <w:hideMark/>
          </w:tcPr>
          <w:p w14:paraId="71B49A1B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Registro Nacional y extinción</w:t>
            </w:r>
          </w:p>
        </w:tc>
        <w:tc>
          <w:tcPr>
            <w:tcW w:w="10081" w:type="dxa"/>
            <w:vAlign w:val="center"/>
            <w:hideMark/>
          </w:tcPr>
          <w:p w14:paraId="3888F804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El ICT no puede impartir instrucciones al Registro Nacional; su actuación se limita a las competencias y mecanismos de coordinación previstos por el ordenamiento.</w:t>
            </w:r>
          </w:p>
        </w:tc>
        <w:tc>
          <w:tcPr>
            <w:tcW w:w="5262" w:type="dxa"/>
            <w:vAlign w:val="center"/>
            <w:hideMark/>
          </w:tcPr>
          <w:p w14:paraId="799F952E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Registro Nacional; extinción; competencia</w:t>
            </w:r>
          </w:p>
        </w:tc>
      </w:tr>
      <w:tr w:rsidR="001151AC" w:rsidRPr="00E057D1" w14:paraId="0508B942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614DA6A5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AL-A-0852-2025</w:t>
            </w:r>
          </w:p>
        </w:tc>
        <w:tc>
          <w:tcPr>
            <w:tcW w:w="2433" w:type="dxa"/>
            <w:vAlign w:val="center"/>
            <w:hideMark/>
          </w:tcPr>
          <w:p w14:paraId="21EE8763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Actividad recreativa acuática</w:t>
            </w:r>
          </w:p>
        </w:tc>
        <w:tc>
          <w:tcPr>
            <w:tcW w:w="10081" w:type="dxa"/>
            <w:vAlign w:val="center"/>
            <w:hideMark/>
          </w:tcPr>
          <w:p w14:paraId="56CCA5F9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Analiza el régimen jurídico aplicable a actividades recreativas acuáticas dentro del marco de empresas y actividades turísticas.</w:t>
            </w:r>
          </w:p>
        </w:tc>
        <w:tc>
          <w:tcPr>
            <w:tcW w:w="5262" w:type="dxa"/>
            <w:vAlign w:val="center"/>
            <w:hideMark/>
          </w:tcPr>
          <w:p w14:paraId="04082677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actividad acuática; turismo; regulación</w:t>
            </w:r>
          </w:p>
        </w:tc>
      </w:tr>
      <w:tr w:rsidR="001151AC" w:rsidRPr="00E057D1" w14:paraId="667ACB9F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3AB7D24C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AL-A-0877-2025</w:t>
            </w:r>
          </w:p>
        </w:tc>
        <w:tc>
          <w:tcPr>
            <w:tcW w:w="2433" w:type="dxa"/>
            <w:vAlign w:val="center"/>
            <w:hideMark/>
          </w:tcPr>
          <w:p w14:paraId="0A15FB6D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Fusión de sociedades concesionarias</w:t>
            </w:r>
          </w:p>
        </w:tc>
        <w:tc>
          <w:tcPr>
            <w:tcW w:w="10081" w:type="dxa"/>
            <w:vAlign w:val="center"/>
            <w:hideMark/>
          </w:tcPr>
          <w:p w14:paraId="085B49AF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fusión que extingue a la concesionaria no transfiere automáticamente la concesión; debe formalizarse previamente la cesión correspondiente.</w:t>
            </w:r>
          </w:p>
        </w:tc>
        <w:tc>
          <w:tcPr>
            <w:tcW w:w="5262" w:type="dxa"/>
            <w:vAlign w:val="center"/>
            <w:hideMark/>
          </w:tcPr>
          <w:p w14:paraId="3126842F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fusión; cesión; concesión</w:t>
            </w:r>
          </w:p>
        </w:tc>
      </w:tr>
      <w:tr w:rsidR="001151AC" w:rsidRPr="00E057D1" w14:paraId="3CB20813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0FE26EED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AL-A-0879-2025</w:t>
            </w:r>
          </w:p>
        </w:tc>
        <w:tc>
          <w:tcPr>
            <w:tcW w:w="2433" w:type="dxa"/>
            <w:vAlign w:val="center"/>
            <w:hideMark/>
          </w:tcPr>
          <w:p w14:paraId="5C365666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Fusión con sociedad matriz</w:t>
            </w:r>
          </w:p>
        </w:tc>
        <w:tc>
          <w:tcPr>
            <w:tcW w:w="10081" w:type="dxa"/>
            <w:vAlign w:val="center"/>
            <w:hideMark/>
          </w:tcPr>
          <w:p w14:paraId="2B9D60E5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El hecho de que la absorbente sea accionista mayoritaria no modifica la regla: la concesión no se transmite automáticamente por la fusión.</w:t>
            </w:r>
          </w:p>
        </w:tc>
        <w:tc>
          <w:tcPr>
            <w:tcW w:w="5262" w:type="dxa"/>
            <w:vAlign w:val="center"/>
            <w:hideMark/>
          </w:tcPr>
          <w:p w14:paraId="4F9B02DD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fusión; sociedad matriz; concesión</w:t>
            </w:r>
          </w:p>
        </w:tc>
      </w:tr>
      <w:tr w:rsidR="001151AC" w:rsidRPr="00E057D1" w14:paraId="5E2167C3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14EC8CA8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AL-A-0918-2025</w:t>
            </w:r>
          </w:p>
        </w:tc>
        <w:tc>
          <w:tcPr>
            <w:tcW w:w="2433" w:type="dxa"/>
            <w:vAlign w:val="center"/>
            <w:hideMark/>
          </w:tcPr>
          <w:p w14:paraId="1FE48E9C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Moratoria de desalojos</w:t>
            </w:r>
          </w:p>
        </w:tc>
        <w:tc>
          <w:tcPr>
            <w:tcW w:w="10081" w:type="dxa"/>
            <w:vAlign w:val="center"/>
            <w:hideMark/>
          </w:tcPr>
          <w:p w14:paraId="1E3FCB32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moratoria protege determinadas ocupaciones existentes, pero no legaliza ni habilita nuevas ocupaciones o construcciones.</w:t>
            </w:r>
          </w:p>
        </w:tc>
        <w:tc>
          <w:tcPr>
            <w:tcW w:w="5262" w:type="dxa"/>
            <w:vAlign w:val="center"/>
            <w:hideMark/>
          </w:tcPr>
          <w:p w14:paraId="1062EC72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moratoria; ocupación; ZMT</w:t>
            </w:r>
          </w:p>
        </w:tc>
      </w:tr>
      <w:tr w:rsidR="001151AC" w:rsidRPr="00E057D1" w14:paraId="6B467A21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42968373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AL-A-0960-2025</w:t>
            </w:r>
          </w:p>
        </w:tc>
        <w:tc>
          <w:tcPr>
            <w:tcW w:w="2433" w:type="dxa"/>
            <w:vAlign w:val="center"/>
            <w:hideMark/>
          </w:tcPr>
          <w:p w14:paraId="0EC68A13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Uso precario y canon</w:t>
            </w:r>
          </w:p>
        </w:tc>
        <w:tc>
          <w:tcPr>
            <w:tcW w:w="10081" w:type="dxa"/>
            <w:vAlign w:val="center"/>
            <w:hideMark/>
          </w:tcPr>
          <w:p w14:paraId="71ABBF9C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El canon previsto para determinados usos precarios no permite legalizar nuevas ocupaciones fuera de los supuestos expresamente contemplados por la ley.</w:t>
            </w:r>
          </w:p>
        </w:tc>
        <w:tc>
          <w:tcPr>
            <w:tcW w:w="5262" w:type="dxa"/>
            <w:vAlign w:val="center"/>
            <w:hideMark/>
          </w:tcPr>
          <w:p w14:paraId="64E2B32A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precario; canon; ocupación</w:t>
            </w:r>
          </w:p>
        </w:tc>
      </w:tr>
      <w:tr w:rsidR="001151AC" w:rsidRPr="00E057D1" w14:paraId="53B41DF1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09C831C3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AL-A-0980-2025</w:t>
            </w:r>
          </w:p>
        </w:tc>
        <w:tc>
          <w:tcPr>
            <w:tcW w:w="2433" w:type="dxa"/>
            <w:vAlign w:val="center"/>
            <w:hideMark/>
          </w:tcPr>
          <w:p w14:paraId="3C52631D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Logotipos y campañas</w:t>
            </w:r>
          </w:p>
        </w:tc>
        <w:tc>
          <w:tcPr>
            <w:tcW w:w="10081" w:type="dxa"/>
            <w:vAlign w:val="center"/>
            <w:hideMark/>
          </w:tcPr>
          <w:p w14:paraId="3FB13091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publicidad institucional no puede asociarse libremente con marcas privadas; debe utilizar los mecanismos formales de campañas cooperativas o integradas.</w:t>
            </w:r>
          </w:p>
        </w:tc>
        <w:tc>
          <w:tcPr>
            <w:tcW w:w="5262" w:type="dxa"/>
            <w:vAlign w:val="center"/>
            <w:hideMark/>
          </w:tcPr>
          <w:p w14:paraId="0BA10D23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logotipo; marca; publicidad</w:t>
            </w:r>
          </w:p>
        </w:tc>
      </w:tr>
      <w:tr w:rsidR="001151AC" w:rsidRPr="00E057D1" w14:paraId="0AD7A3AD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3FED797F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lastRenderedPageBreak/>
              <w:t>AL-A-1010-2025</w:t>
            </w:r>
          </w:p>
        </w:tc>
        <w:tc>
          <w:tcPr>
            <w:tcW w:w="2433" w:type="dxa"/>
            <w:vAlign w:val="center"/>
            <w:hideMark/>
          </w:tcPr>
          <w:p w14:paraId="7C662172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Sucesión en solicitud de concesión</w:t>
            </w:r>
          </w:p>
        </w:tc>
        <w:tc>
          <w:tcPr>
            <w:tcW w:w="10081" w:type="dxa"/>
            <w:vAlign w:val="center"/>
            <w:hideMark/>
          </w:tcPr>
          <w:p w14:paraId="751E0AE5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El fallecimiento del solicitante antes de culminar el procedimiento no supone transmisión automática de una concesión consolidada; debe analizarse la situación sucesoria y procedimental concreta.</w:t>
            </w:r>
          </w:p>
        </w:tc>
        <w:tc>
          <w:tcPr>
            <w:tcW w:w="5262" w:type="dxa"/>
            <w:vAlign w:val="center"/>
            <w:hideMark/>
          </w:tcPr>
          <w:p w14:paraId="1C94F665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herencia; sucesión; concesión</w:t>
            </w:r>
          </w:p>
        </w:tc>
      </w:tr>
      <w:tr w:rsidR="001151AC" w:rsidRPr="00E057D1" w14:paraId="442BDDAD" w14:textId="77777777" w:rsidTr="001151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0DAED694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AL-A-1450-2025</w:t>
            </w:r>
          </w:p>
        </w:tc>
        <w:tc>
          <w:tcPr>
            <w:tcW w:w="2433" w:type="dxa"/>
            <w:vAlign w:val="center"/>
            <w:hideMark/>
          </w:tcPr>
          <w:p w14:paraId="2040C123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Eficacia y plazo de concesiones</w:t>
            </w:r>
          </w:p>
        </w:tc>
        <w:tc>
          <w:tcPr>
            <w:tcW w:w="10081" w:type="dxa"/>
            <w:vAlign w:val="center"/>
            <w:hideMark/>
          </w:tcPr>
          <w:p w14:paraId="6F3E2631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Analiza cuándo comienza a producir efectos jurídicos una concesión y la incidencia de la aprobación institucional y del canon.</w:t>
            </w:r>
          </w:p>
        </w:tc>
        <w:tc>
          <w:tcPr>
            <w:tcW w:w="5262" w:type="dxa"/>
            <w:vAlign w:val="center"/>
            <w:hideMark/>
          </w:tcPr>
          <w:p w14:paraId="3E4C14C5" w14:textId="77777777" w:rsidR="001151AC" w:rsidRPr="00E057D1" w:rsidRDefault="001151AC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plazo; eficacia; canon; concesión</w:t>
            </w:r>
          </w:p>
        </w:tc>
      </w:tr>
      <w:tr w:rsidR="001151AC" w:rsidRPr="00E057D1" w14:paraId="0C8BAB9F" w14:textId="77777777" w:rsidTr="00115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6" w:type="dxa"/>
            <w:vAlign w:val="center"/>
            <w:hideMark/>
          </w:tcPr>
          <w:p w14:paraId="61E41CDF" w14:textId="77777777" w:rsidR="001151AC" w:rsidRPr="00E057D1" w:rsidRDefault="001151AC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AL-A-1465-2025</w:t>
            </w:r>
          </w:p>
        </w:tc>
        <w:tc>
          <w:tcPr>
            <w:tcW w:w="2433" w:type="dxa"/>
            <w:vAlign w:val="center"/>
            <w:hideMark/>
          </w:tcPr>
          <w:p w14:paraId="06329AD2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Recurso en concesión ZMT</w:t>
            </w:r>
          </w:p>
        </w:tc>
        <w:tc>
          <w:tcPr>
            <w:tcW w:w="10081" w:type="dxa"/>
            <w:vAlign w:val="center"/>
            <w:hideMark/>
          </w:tcPr>
          <w:p w14:paraId="5E6A2DB9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Examina la validez de una concesión frente a requisitos de planificación, vialidad y acceso y los argumentos formulados en recurso administrativo.</w:t>
            </w:r>
          </w:p>
        </w:tc>
        <w:tc>
          <w:tcPr>
            <w:tcW w:w="5262" w:type="dxa"/>
            <w:vAlign w:val="center"/>
            <w:hideMark/>
          </w:tcPr>
          <w:p w14:paraId="2A68FE55" w14:textId="77777777" w:rsidR="001151AC" w:rsidRPr="00E057D1" w:rsidRDefault="001151AC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recurso; vialidad; planificación</w:t>
            </w:r>
          </w:p>
        </w:tc>
      </w:tr>
    </w:tbl>
    <w:p w14:paraId="7F2A464E" w14:textId="6E539CEA" w:rsidR="00E057D1" w:rsidRPr="00536FD6" w:rsidRDefault="00E057D1" w:rsidP="00536FD6">
      <w:pPr>
        <w:spacing w:before="120" w:after="120" w:line="240" w:lineRule="auto"/>
        <w:jc w:val="center"/>
        <w:rPr>
          <w:b/>
          <w:bCs/>
          <w:sz w:val="52"/>
          <w:szCs w:val="52"/>
        </w:rPr>
      </w:pPr>
      <w:r w:rsidRPr="00536FD6">
        <w:rPr>
          <w:b/>
          <w:bCs/>
          <w:sz w:val="52"/>
          <w:szCs w:val="52"/>
        </w:rPr>
        <w:t>2026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1798"/>
        <w:gridCol w:w="2328"/>
        <w:gridCol w:w="10044"/>
        <w:gridCol w:w="5262"/>
      </w:tblGrid>
      <w:tr w:rsidR="00302730" w:rsidRPr="00E057D1" w14:paraId="73CDAF0B" w14:textId="77777777" w:rsidTr="003027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65BEE1BA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N° de criterio</w:t>
            </w:r>
          </w:p>
        </w:tc>
        <w:tc>
          <w:tcPr>
            <w:tcW w:w="2328" w:type="dxa"/>
            <w:vAlign w:val="center"/>
            <w:hideMark/>
          </w:tcPr>
          <w:p w14:paraId="374A32EA" w14:textId="77777777" w:rsidR="00302730" w:rsidRPr="00E057D1" w:rsidRDefault="00302730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Tema principal</w:t>
            </w:r>
          </w:p>
        </w:tc>
        <w:tc>
          <w:tcPr>
            <w:tcW w:w="10044" w:type="dxa"/>
            <w:vAlign w:val="center"/>
            <w:hideMark/>
          </w:tcPr>
          <w:p w14:paraId="34900A35" w14:textId="77777777" w:rsidR="00302730" w:rsidRPr="00E057D1" w:rsidRDefault="00302730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Resumen ejecutivo</w:t>
            </w:r>
          </w:p>
        </w:tc>
        <w:tc>
          <w:tcPr>
            <w:tcW w:w="5262" w:type="dxa"/>
            <w:vAlign w:val="center"/>
            <w:hideMark/>
          </w:tcPr>
          <w:p w14:paraId="14E46CDF" w14:textId="77777777" w:rsidR="00302730" w:rsidRPr="00E057D1" w:rsidRDefault="00302730" w:rsidP="00536FD6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Palabras clave</w:t>
            </w:r>
          </w:p>
        </w:tc>
      </w:tr>
      <w:tr w:rsidR="00302730" w:rsidRPr="00E057D1" w14:paraId="3948B6E0" w14:textId="77777777" w:rsidTr="003027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34C12C76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AL-A-0089-2026</w:t>
            </w:r>
          </w:p>
        </w:tc>
        <w:tc>
          <w:tcPr>
            <w:tcW w:w="2328" w:type="dxa"/>
            <w:vAlign w:val="center"/>
            <w:hideMark/>
          </w:tcPr>
          <w:p w14:paraId="5A12AB60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Marina Papagayo y garantías</w:t>
            </w:r>
          </w:p>
        </w:tc>
        <w:tc>
          <w:tcPr>
            <w:tcW w:w="10044" w:type="dxa"/>
            <w:vAlign w:val="center"/>
            <w:hideMark/>
          </w:tcPr>
          <w:p w14:paraId="19455905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Debe aplicarse con preferencia el régimen especial de marinas cuando regula específicamente las garantías, evitando duplicar obligaciones con las previstas en el PTGP.</w:t>
            </w:r>
          </w:p>
        </w:tc>
        <w:tc>
          <w:tcPr>
            <w:tcW w:w="5262" w:type="dxa"/>
            <w:vAlign w:val="center"/>
            <w:hideMark/>
          </w:tcPr>
          <w:p w14:paraId="1474D1D0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marina; Papagayo; garantía; especialidad</w:t>
            </w:r>
          </w:p>
        </w:tc>
      </w:tr>
      <w:tr w:rsidR="00302730" w:rsidRPr="00E057D1" w14:paraId="5296F99E" w14:textId="77777777" w:rsidTr="003027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359C86D1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AL-A-0214-2026</w:t>
            </w:r>
          </w:p>
        </w:tc>
        <w:tc>
          <w:tcPr>
            <w:tcW w:w="2328" w:type="dxa"/>
            <w:vAlign w:val="center"/>
            <w:hideMark/>
          </w:tcPr>
          <w:p w14:paraId="2945A78F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Convenios de cooperación</w:t>
            </w:r>
          </w:p>
        </w:tc>
        <w:tc>
          <w:tcPr>
            <w:tcW w:w="10044" w:type="dxa"/>
            <w:vAlign w:val="center"/>
            <w:hideMark/>
          </w:tcPr>
          <w:p w14:paraId="7039DB2F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celebración de convenios con particulares debe contar con normativa interna suficiente que asegure selección objetiva, transparencia y control de fondos públicos.</w:t>
            </w:r>
          </w:p>
        </w:tc>
        <w:tc>
          <w:tcPr>
            <w:tcW w:w="5262" w:type="dxa"/>
            <w:vAlign w:val="center"/>
            <w:hideMark/>
          </w:tcPr>
          <w:p w14:paraId="769A89CA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convenio; cooperación; fondos públicos</w:t>
            </w:r>
          </w:p>
        </w:tc>
      </w:tr>
      <w:tr w:rsidR="00302730" w:rsidRPr="00E057D1" w14:paraId="1B0BAB7A" w14:textId="77777777" w:rsidTr="003027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04F31425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AL-A-0244-2026</w:t>
            </w:r>
          </w:p>
        </w:tc>
        <w:tc>
          <w:tcPr>
            <w:tcW w:w="2328" w:type="dxa"/>
            <w:vAlign w:val="center"/>
            <w:hideMark/>
          </w:tcPr>
          <w:p w14:paraId="691694E3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Compensación de áreas en Papagayo</w:t>
            </w:r>
          </w:p>
        </w:tc>
        <w:tc>
          <w:tcPr>
            <w:tcW w:w="10044" w:type="dxa"/>
            <w:vAlign w:val="center"/>
            <w:hideMark/>
          </w:tcPr>
          <w:p w14:paraId="225AC17A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compensación de áreas, densidades o capacidad no constituye un derecho automático, sino una decisión institucional que requiere fundamento técnico y jurídico.</w:t>
            </w:r>
          </w:p>
        </w:tc>
        <w:tc>
          <w:tcPr>
            <w:tcW w:w="5262" w:type="dxa"/>
            <w:vAlign w:val="center"/>
            <w:hideMark/>
          </w:tcPr>
          <w:p w14:paraId="0EBD2636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compensación; densidad; Papagayo</w:t>
            </w:r>
          </w:p>
        </w:tc>
      </w:tr>
      <w:tr w:rsidR="00302730" w:rsidRPr="00E057D1" w14:paraId="52ECD9A9" w14:textId="77777777" w:rsidTr="003027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29BE2BE2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AL-A-0249-2026</w:t>
            </w:r>
          </w:p>
        </w:tc>
        <w:tc>
          <w:tcPr>
            <w:tcW w:w="2328" w:type="dxa"/>
            <w:vAlign w:val="center"/>
            <w:hideMark/>
          </w:tcPr>
          <w:p w14:paraId="26CA821E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Contenido presupuestario</w:t>
            </w:r>
          </w:p>
        </w:tc>
        <w:tc>
          <w:tcPr>
            <w:tcW w:w="10044" w:type="dxa"/>
            <w:vAlign w:val="center"/>
            <w:hideMark/>
          </w:tcPr>
          <w:p w14:paraId="41EE8FE4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Las obligaciones contractuales deben contar con contenido presupuestario; la contratación plurianual debe ajustarse a las excepciones y autorizaciones legalmente previstas.</w:t>
            </w:r>
          </w:p>
        </w:tc>
        <w:tc>
          <w:tcPr>
            <w:tcW w:w="5262" w:type="dxa"/>
            <w:vAlign w:val="center"/>
            <w:hideMark/>
          </w:tcPr>
          <w:p w14:paraId="7812F33E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presupuesto; contratación; plurianual</w:t>
            </w:r>
          </w:p>
        </w:tc>
      </w:tr>
      <w:tr w:rsidR="00302730" w:rsidRPr="00E057D1" w14:paraId="116F580D" w14:textId="77777777" w:rsidTr="003027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63670DD8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AL-A-0437-2026</w:t>
            </w:r>
          </w:p>
        </w:tc>
        <w:tc>
          <w:tcPr>
            <w:tcW w:w="2328" w:type="dxa"/>
            <w:vAlign w:val="center"/>
            <w:hideMark/>
          </w:tcPr>
          <w:p w14:paraId="09C1B70A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Concepto de extranjeros en ZMT</w:t>
            </w:r>
          </w:p>
        </w:tc>
        <w:tc>
          <w:tcPr>
            <w:tcW w:w="10044" w:type="dxa"/>
            <w:vAlign w:val="center"/>
            <w:hideMark/>
          </w:tcPr>
          <w:p w14:paraId="6797B633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expresión “extranjeros” comprende las distintas hipótesis de personas físicas y jurídicas sometidas a restricciones por nacionalidad y capital social.</w:t>
            </w:r>
          </w:p>
        </w:tc>
        <w:tc>
          <w:tcPr>
            <w:tcW w:w="5262" w:type="dxa"/>
            <w:vAlign w:val="center"/>
            <w:hideMark/>
          </w:tcPr>
          <w:p w14:paraId="4235ABE0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extranjeros; nacionalidad; capital</w:t>
            </w:r>
          </w:p>
        </w:tc>
      </w:tr>
      <w:tr w:rsidR="00302730" w:rsidRPr="00E057D1" w14:paraId="4FA983B9" w14:textId="77777777" w:rsidTr="003027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77919368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AL-A-0539-2026</w:t>
            </w:r>
          </w:p>
        </w:tc>
        <w:tc>
          <w:tcPr>
            <w:tcW w:w="2328" w:type="dxa"/>
            <w:vAlign w:val="center"/>
            <w:hideMark/>
          </w:tcPr>
          <w:p w14:paraId="3866D9D0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Permisos de uso en zona pública</w:t>
            </w:r>
          </w:p>
        </w:tc>
        <w:tc>
          <w:tcPr>
            <w:tcW w:w="10044" w:type="dxa"/>
            <w:vAlign w:val="center"/>
            <w:hideMark/>
          </w:tcPr>
          <w:p w14:paraId="5CBECD23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Los permisos de uso son temporales, excepcionales y precarios; no pueden utilizarse para sustituir el régimen de concesión frente a instalaciones de mayor permanencia o intensidad.</w:t>
            </w:r>
          </w:p>
        </w:tc>
        <w:tc>
          <w:tcPr>
            <w:tcW w:w="5262" w:type="dxa"/>
            <w:vAlign w:val="center"/>
            <w:hideMark/>
          </w:tcPr>
          <w:p w14:paraId="1ED0A9FC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permiso; zona pública; precariedad</w:t>
            </w:r>
          </w:p>
        </w:tc>
      </w:tr>
      <w:tr w:rsidR="00302730" w:rsidRPr="00E057D1" w14:paraId="43E219FF" w14:textId="77777777" w:rsidTr="003027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352F257A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AL-A-0625-2026</w:t>
            </w:r>
          </w:p>
        </w:tc>
        <w:tc>
          <w:tcPr>
            <w:tcW w:w="2328" w:type="dxa"/>
            <w:vAlign w:val="center"/>
            <w:hideMark/>
          </w:tcPr>
          <w:p w14:paraId="3E1430F7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Gestión comunitaria de zona pública</w:t>
            </w:r>
          </w:p>
        </w:tc>
        <w:tc>
          <w:tcPr>
            <w:tcW w:w="10044" w:type="dxa"/>
            <w:vAlign w:val="center"/>
            <w:hideMark/>
          </w:tcPr>
          <w:p w14:paraId="27A75178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El mantenimiento, mobiliario y control de accesos en zona pública deben respetar el libre tránsito, las competencias municipales y el carácter demanial.</w:t>
            </w:r>
          </w:p>
        </w:tc>
        <w:tc>
          <w:tcPr>
            <w:tcW w:w="5262" w:type="dxa"/>
            <w:vAlign w:val="center"/>
            <w:hideMark/>
          </w:tcPr>
          <w:p w14:paraId="58ED24FC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zona pública; asociación; acceso</w:t>
            </w:r>
          </w:p>
        </w:tc>
      </w:tr>
      <w:tr w:rsidR="00302730" w:rsidRPr="00E057D1" w14:paraId="554E163E" w14:textId="77777777" w:rsidTr="003027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540C2014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lastRenderedPageBreak/>
              <w:t>AL-A-0663-2026</w:t>
            </w:r>
          </w:p>
        </w:tc>
        <w:tc>
          <w:tcPr>
            <w:tcW w:w="2328" w:type="dxa"/>
            <w:vAlign w:val="center"/>
            <w:hideMark/>
          </w:tcPr>
          <w:p w14:paraId="1F41438A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Uso de zona pública</w:t>
            </w:r>
          </w:p>
        </w:tc>
        <w:tc>
          <w:tcPr>
            <w:tcW w:w="10044" w:type="dxa"/>
            <w:vAlign w:val="center"/>
            <w:hideMark/>
          </w:tcPr>
          <w:p w14:paraId="25C8B876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Reitera los límites jurídicos aplicables a actuaciones comunitarias y municipales sobre Playa Dominical y la imposibilidad de generar apropiaciones exclusivas.</w:t>
            </w:r>
          </w:p>
        </w:tc>
        <w:tc>
          <w:tcPr>
            <w:tcW w:w="5262" w:type="dxa"/>
            <w:vAlign w:val="center"/>
            <w:hideMark/>
          </w:tcPr>
          <w:p w14:paraId="20594A9B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Playa Dominical; zona pública; gestión</w:t>
            </w:r>
          </w:p>
        </w:tc>
      </w:tr>
      <w:tr w:rsidR="00302730" w:rsidRPr="00E057D1" w14:paraId="356C64CF" w14:textId="77777777" w:rsidTr="003027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2FB81B52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AL-A-0691-2026</w:t>
            </w:r>
          </w:p>
        </w:tc>
        <w:tc>
          <w:tcPr>
            <w:tcW w:w="2328" w:type="dxa"/>
            <w:vAlign w:val="center"/>
            <w:hideMark/>
          </w:tcPr>
          <w:p w14:paraId="354E4F2C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Archivo de expedientes</w:t>
            </w:r>
          </w:p>
        </w:tc>
        <w:tc>
          <w:tcPr>
            <w:tcW w:w="10044" w:type="dxa"/>
            <w:vAlign w:val="center"/>
            <w:hideMark/>
          </w:tcPr>
          <w:p w14:paraId="18401C5C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Sistematiza supuestos de archivo por inactividad, disolución de sociedades, vencimiento, extinción o cancelación de concesiones.</w:t>
            </w:r>
          </w:p>
        </w:tc>
        <w:tc>
          <w:tcPr>
            <w:tcW w:w="5262" w:type="dxa"/>
            <w:vAlign w:val="center"/>
            <w:hideMark/>
          </w:tcPr>
          <w:p w14:paraId="6E8CB2EF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archivo; inactividad; extinción</w:t>
            </w:r>
          </w:p>
        </w:tc>
      </w:tr>
      <w:tr w:rsidR="00302730" w:rsidRPr="00E057D1" w14:paraId="168464B0" w14:textId="77777777" w:rsidTr="003027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1A643344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AL-A-0700-2026</w:t>
            </w:r>
          </w:p>
        </w:tc>
        <w:tc>
          <w:tcPr>
            <w:tcW w:w="2328" w:type="dxa"/>
            <w:vAlign w:val="center"/>
            <w:hideMark/>
          </w:tcPr>
          <w:p w14:paraId="19783F66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Renovación de concesiones</w:t>
            </w:r>
          </w:p>
        </w:tc>
        <w:tc>
          <w:tcPr>
            <w:tcW w:w="10044" w:type="dxa"/>
            <w:vAlign w:val="center"/>
            <w:hideMark/>
          </w:tcPr>
          <w:p w14:paraId="3524FB68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prórroga no es automática; exige acto administrativo y debe resolverse conforme a normativa, planificación y condiciones vigentes.</w:t>
            </w:r>
          </w:p>
        </w:tc>
        <w:tc>
          <w:tcPr>
            <w:tcW w:w="5262" w:type="dxa"/>
            <w:vAlign w:val="center"/>
            <w:hideMark/>
          </w:tcPr>
          <w:p w14:paraId="66CD85F8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renovación; prórroga; concesión</w:t>
            </w:r>
          </w:p>
        </w:tc>
      </w:tr>
      <w:tr w:rsidR="00302730" w:rsidRPr="00E057D1" w14:paraId="1D9016A5" w14:textId="77777777" w:rsidTr="003027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701779FE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AL-A-0764-2026</w:t>
            </w:r>
          </w:p>
        </w:tc>
        <w:tc>
          <w:tcPr>
            <w:tcW w:w="2328" w:type="dxa"/>
            <w:vAlign w:val="center"/>
            <w:hideMark/>
          </w:tcPr>
          <w:p w14:paraId="2DDA9623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Destino del canon</w:t>
            </w:r>
          </w:p>
        </w:tc>
        <w:tc>
          <w:tcPr>
            <w:tcW w:w="10044" w:type="dxa"/>
            <w:vAlign w:val="center"/>
            <w:hideMark/>
          </w:tcPr>
          <w:p w14:paraId="35BE82B3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Los recursos afectados por el artículo 59 de la Ley N° 6043 deben utilizarse para la finalidad legalmente prevista y no pueden ser redestinados administrativamente.</w:t>
            </w:r>
          </w:p>
        </w:tc>
        <w:tc>
          <w:tcPr>
            <w:tcW w:w="5262" w:type="dxa"/>
            <w:vAlign w:val="center"/>
            <w:hideMark/>
          </w:tcPr>
          <w:p w14:paraId="68A8D987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canon; artículo 59; afectación</w:t>
            </w:r>
          </w:p>
        </w:tc>
      </w:tr>
      <w:tr w:rsidR="00302730" w:rsidRPr="00E057D1" w14:paraId="22E0B274" w14:textId="77777777" w:rsidTr="003027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3BC169D8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AL-A-0788-2026</w:t>
            </w:r>
          </w:p>
        </w:tc>
        <w:tc>
          <w:tcPr>
            <w:tcW w:w="2328" w:type="dxa"/>
            <w:vAlign w:val="center"/>
            <w:hideMark/>
          </w:tcPr>
          <w:p w14:paraId="3D0E332F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Recurso y planificación</w:t>
            </w:r>
          </w:p>
        </w:tc>
        <w:tc>
          <w:tcPr>
            <w:tcW w:w="10044" w:type="dxa"/>
            <w:vAlign w:val="center"/>
            <w:hideMark/>
          </w:tcPr>
          <w:p w14:paraId="64CE586E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Examina la aprobación de una concesión frente a la red vial y planificación vigente y los argumentos formulados por el gobierno local.</w:t>
            </w:r>
          </w:p>
        </w:tc>
        <w:tc>
          <w:tcPr>
            <w:tcW w:w="5262" w:type="dxa"/>
            <w:vAlign w:val="center"/>
            <w:hideMark/>
          </w:tcPr>
          <w:p w14:paraId="5B23634E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recurso; vialidad; concesión</w:t>
            </w:r>
          </w:p>
        </w:tc>
      </w:tr>
      <w:tr w:rsidR="00302730" w:rsidRPr="00E057D1" w14:paraId="6CF742A6" w14:textId="77777777" w:rsidTr="003027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212AD2CD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AL-A-0883-2026</w:t>
            </w:r>
          </w:p>
        </w:tc>
        <w:tc>
          <w:tcPr>
            <w:tcW w:w="2328" w:type="dxa"/>
            <w:vAlign w:val="center"/>
            <w:hideMark/>
          </w:tcPr>
          <w:p w14:paraId="432889F0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Bienes exonerados</w:t>
            </w:r>
          </w:p>
        </w:tc>
        <w:tc>
          <w:tcPr>
            <w:tcW w:w="10044" w:type="dxa"/>
            <w:vAlign w:val="center"/>
            <w:hideMark/>
          </w:tcPr>
          <w:p w14:paraId="05409D9A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El ICT no debe asumir funciones de fiscalización tributaria que corresponden a Hacienda, sin perjuicio de sus competencias sobre contratos turísticos.</w:t>
            </w:r>
          </w:p>
        </w:tc>
        <w:tc>
          <w:tcPr>
            <w:tcW w:w="5262" w:type="dxa"/>
            <w:vAlign w:val="center"/>
            <w:hideMark/>
          </w:tcPr>
          <w:p w14:paraId="1AEAC629" w14:textId="77777777" w:rsidR="00302730" w:rsidRPr="00E057D1" w:rsidRDefault="00302730" w:rsidP="00536FD6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exoneración; Hacienda; competencia</w:t>
            </w:r>
          </w:p>
        </w:tc>
      </w:tr>
      <w:tr w:rsidR="00302730" w:rsidRPr="00E057D1" w14:paraId="2E8E6F55" w14:textId="77777777" w:rsidTr="003027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  <w:vAlign w:val="center"/>
            <w:hideMark/>
          </w:tcPr>
          <w:p w14:paraId="64C4C1EE" w14:textId="77777777" w:rsidR="00302730" w:rsidRPr="00E057D1" w:rsidRDefault="00302730" w:rsidP="00536FD6">
            <w:pPr>
              <w:spacing w:before="120" w:after="12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AL-A-0942-2026</w:t>
            </w:r>
          </w:p>
        </w:tc>
        <w:tc>
          <w:tcPr>
            <w:tcW w:w="2328" w:type="dxa"/>
            <w:vAlign w:val="center"/>
            <w:hideMark/>
          </w:tcPr>
          <w:p w14:paraId="107F4AAE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Patrimonio Natural del Estado</w:t>
            </w:r>
          </w:p>
        </w:tc>
        <w:tc>
          <w:tcPr>
            <w:tcW w:w="10044" w:type="dxa"/>
            <w:vAlign w:val="center"/>
            <w:hideMark/>
          </w:tcPr>
          <w:p w14:paraId="7E60B7AB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La prórroga solo puede comprender las áreas jurídicamente concesionables; deben excluirse las áreas certificadas como Patrimonio Natural del Estado.</w:t>
            </w:r>
          </w:p>
        </w:tc>
        <w:tc>
          <w:tcPr>
            <w:tcW w:w="5262" w:type="dxa"/>
            <w:vAlign w:val="center"/>
            <w:hideMark/>
          </w:tcPr>
          <w:p w14:paraId="5F731FBE" w14:textId="77777777" w:rsidR="00302730" w:rsidRPr="00E057D1" w:rsidRDefault="00302730" w:rsidP="00536FD6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057D1">
              <w:rPr>
                <w:sz w:val="20"/>
                <w:szCs w:val="20"/>
              </w:rPr>
              <w:t>PNE; prórroga; área; ZMT</w:t>
            </w:r>
          </w:p>
        </w:tc>
      </w:tr>
    </w:tbl>
    <w:p w14:paraId="5C80AB53" w14:textId="77777777" w:rsidR="00E057D1" w:rsidRDefault="00E057D1" w:rsidP="00C93F0F">
      <w:pPr>
        <w:spacing w:before="0" w:after="0"/>
        <w:rPr>
          <w:sz w:val="20"/>
          <w:szCs w:val="20"/>
        </w:rPr>
      </w:pPr>
    </w:p>
    <w:p w14:paraId="60A805E8" w14:textId="77777777" w:rsidR="00E57453" w:rsidRDefault="00E57453" w:rsidP="00C93F0F">
      <w:pPr>
        <w:spacing w:before="0" w:after="0"/>
        <w:rPr>
          <w:sz w:val="20"/>
          <w:szCs w:val="20"/>
        </w:rPr>
      </w:pPr>
    </w:p>
    <w:p w14:paraId="378E6883" w14:textId="77777777" w:rsidR="00E57453" w:rsidRDefault="00E57453" w:rsidP="00C93F0F">
      <w:pPr>
        <w:spacing w:before="0" w:after="0"/>
        <w:rPr>
          <w:sz w:val="20"/>
          <w:szCs w:val="20"/>
        </w:rPr>
      </w:pPr>
    </w:p>
    <w:p w14:paraId="20A71170" w14:textId="77777777" w:rsidR="00E57453" w:rsidRDefault="00E57453" w:rsidP="00C93F0F">
      <w:pPr>
        <w:spacing w:before="0" w:after="0"/>
        <w:rPr>
          <w:sz w:val="20"/>
          <w:szCs w:val="20"/>
        </w:rPr>
      </w:pPr>
    </w:p>
    <w:p w14:paraId="0282588D" w14:textId="332B514E" w:rsidR="00E57453" w:rsidRPr="00C93F0F" w:rsidRDefault="00E57453" w:rsidP="00C93F0F">
      <w:pPr>
        <w:spacing w:before="0" w:after="0"/>
        <w:rPr>
          <w:sz w:val="20"/>
          <w:szCs w:val="20"/>
        </w:rPr>
      </w:pPr>
    </w:p>
    <w:sectPr w:rsidR="00E57453" w:rsidRPr="00C93F0F" w:rsidSect="008A553C">
      <w:pgSz w:w="22680" w:h="12242" w:orient="landscape"/>
      <w:pgMar w:top="1701" w:right="1134" w:bottom="1701" w:left="21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0F"/>
    <w:rsid w:val="00024FF8"/>
    <w:rsid w:val="001151AC"/>
    <w:rsid w:val="00302730"/>
    <w:rsid w:val="003134FF"/>
    <w:rsid w:val="00322E71"/>
    <w:rsid w:val="00536FD6"/>
    <w:rsid w:val="005B34EF"/>
    <w:rsid w:val="00662663"/>
    <w:rsid w:val="00760111"/>
    <w:rsid w:val="007A793F"/>
    <w:rsid w:val="008A553C"/>
    <w:rsid w:val="008E30F0"/>
    <w:rsid w:val="00952E6D"/>
    <w:rsid w:val="009E1F62"/>
    <w:rsid w:val="009E2F14"/>
    <w:rsid w:val="009F6DFA"/>
    <w:rsid w:val="00A11CB7"/>
    <w:rsid w:val="00AF4DD7"/>
    <w:rsid w:val="00BD532B"/>
    <w:rsid w:val="00BF4995"/>
    <w:rsid w:val="00C93F0F"/>
    <w:rsid w:val="00CE33EE"/>
    <w:rsid w:val="00DD20AF"/>
    <w:rsid w:val="00E057D1"/>
    <w:rsid w:val="00E57453"/>
    <w:rsid w:val="00F10B08"/>
    <w:rsid w:val="00FC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FE20"/>
  <w15:chartTrackingRefBased/>
  <w15:docId w15:val="{9D0A62B3-AC76-4B6A-A6D8-48E4534CC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before="240" w:after="24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93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93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93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3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93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93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93F0F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93F0F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93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93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93F0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3F0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93F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93F0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93F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93F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93F0F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93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93F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93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93F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93F0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93F0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93F0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93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93F0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93F0F"/>
    <w:rPr>
      <w:b/>
      <w:bCs/>
      <w:smallCaps/>
      <w:color w:val="0F4761" w:themeColor="accent1" w:themeShade="BF"/>
      <w:spacing w:val="5"/>
    </w:rPr>
  </w:style>
  <w:style w:type="table" w:styleId="Tablanormal2">
    <w:name w:val="Plain Table 2"/>
    <w:basedOn w:val="Tablanormal"/>
    <w:uiPriority w:val="42"/>
    <w:rsid w:val="00C93F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1">
    <w:name w:val="Plain Table 1"/>
    <w:basedOn w:val="Tablanormal"/>
    <w:uiPriority w:val="41"/>
    <w:rsid w:val="00C93F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3">
    <w:name w:val="Plain Table 3"/>
    <w:basedOn w:val="Tablanormal"/>
    <w:uiPriority w:val="43"/>
    <w:rsid w:val="00C93F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A64CB-BA92-4121-9988-3D7F16FD7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14</Pages>
  <Words>5147</Words>
  <Characters>29240</Characters>
  <Application>Microsoft Office Word</Application>
  <DocSecurity>0</DocSecurity>
  <Lines>430</Lines>
  <Paragraphs>107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MONIKHA CEDEÑO</dc:creator>
  <cp:keywords/>
  <dc:description/>
  <cp:lastModifiedBy>MONIKHA CEDEÑO</cp:lastModifiedBy>
  <cp:revision>20</cp:revision>
  <dcterms:created xsi:type="dcterms:W3CDTF">2026-08-12T20:51:00Z</dcterms:created>
  <dcterms:modified xsi:type="dcterms:W3CDTF">2026-08-14T14:47:00Z</dcterms:modified>
</cp:coreProperties>
</file>